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2"/>
  <w:body>
    <w:p w14:paraId="5406E5CB" w14:textId="6B7577E3" w:rsidR="006F253A" w:rsidRPr="00E777ED" w:rsidRDefault="00F65AE3" w:rsidP="00E777ED">
      <w:pPr>
        <w:pStyle w:val="Title"/>
      </w:pPr>
      <w:r w:rsidRPr="00E777ED">
        <w:t>Charter of Open Pharma</w:t>
      </w:r>
    </w:p>
    <w:p w14:paraId="27AA6D12" w14:textId="1874A96F" w:rsidR="006F253A" w:rsidRPr="00153D5A" w:rsidRDefault="006F253A" w:rsidP="001E13F5">
      <w:pPr>
        <w:pStyle w:val="Heading1"/>
        <w:jc w:val="both"/>
        <w:rPr>
          <w:sz w:val="22"/>
          <w:szCs w:val="22"/>
        </w:rPr>
      </w:pPr>
      <w:r w:rsidRPr="00153D5A">
        <w:rPr>
          <w:sz w:val="22"/>
          <w:szCs w:val="22"/>
        </w:rPr>
        <w:t xml:space="preserve">Article 1. </w:t>
      </w:r>
      <w:r w:rsidR="002C026E" w:rsidRPr="00153D5A">
        <w:rPr>
          <w:sz w:val="22"/>
          <w:szCs w:val="22"/>
        </w:rPr>
        <w:t>Mission and objectives</w:t>
      </w:r>
    </w:p>
    <w:p w14:paraId="0733DE89" w14:textId="75A207A4" w:rsidR="00BA5F96" w:rsidRDefault="00F032B8" w:rsidP="001E13F5">
      <w:pPr>
        <w:jc w:val="both"/>
        <w:rPr>
          <w:sz w:val="22"/>
          <w:szCs w:val="22"/>
        </w:rPr>
      </w:pPr>
      <w:r w:rsidRPr="00153D5A">
        <w:rPr>
          <w:sz w:val="22"/>
          <w:szCs w:val="22"/>
        </w:rPr>
        <w:t>To drive improvement</w:t>
      </w:r>
      <w:r w:rsidR="00100762">
        <w:rPr>
          <w:sz w:val="22"/>
          <w:szCs w:val="22"/>
        </w:rPr>
        <w:t>s</w:t>
      </w:r>
      <w:r w:rsidRPr="00153D5A">
        <w:rPr>
          <w:sz w:val="22"/>
          <w:szCs w:val="22"/>
        </w:rPr>
        <w:t xml:space="preserve"> in healthcare, </w:t>
      </w:r>
      <w:r w:rsidR="003E500E" w:rsidRPr="00153D5A">
        <w:rPr>
          <w:sz w:val="22"/>
          <w:szCs w:val="22"/>
        </w:rPr>
        <w:t xml:space="preserve">the </w:t>
      </w:r>
      <w:r w:rsidR="00057C64" w:rsidRPr="00153D5A">
        <w:rPr>
          <w:sz w:val="22"/>
          <w:szCs w:val="22"/>
        </w:rPr>
        <w:t xml:space="preserve">dissemination of </w:t>
      </w:r>
      <w:r w:rsidRPr="00153D5A">
        <w:rPr>
          <w:sz w:val="22"/>
          <w:szCs w:val="22"/>
        </w:rPr>
        <w:t xml:space="preserve">pharmaceutical industry </w:t>
      </w:r>
      <w:r w:rsidR="00A452AB" w:rsidRPr="00153D5A">
        <w:rPr>
          <w:sz w:val="22"/>
          <w:szCs w:val="22"/>
        </w:rPr>
        <w:t>research</w:t>
      </w:r>
      <w:r w:rsidRPr="00153D5A">
        <w:rPr>
          <w:sz w:val="22"/>
          <w:szCs w:val="22"/>
        </w:rPr>
        <w:t xml:space="preserve"> </w:t>
      </w:r>
      <w:r w:rsidR="00066CB2" w:rsidRPr="00153D5A">
        <w:rPr>
          <w:sz w:val="22"/>
          <w:szCs w:val="22"/>
        </w:rPr>
        <w:t xml:space="preserve">results </w:t>
      </w:r>
      <w:r w:rsidRPr="00153D5A">
        <w:rPr>
          <w:sz w:val="22"/>
          <w:szCs w:val="22"/>
        </w:rPr>
        <w:t xml:space="preserve">should be </w:t>
      </w:r>
      <w:r w:rsidR="00057C64" w:rsidRPr="00153D5A">
        <w:rPr>
          <w:sz w:val="22"/>
          <w:szCs w:val="22"/>
        </w:rPr>
        <w:t xml:space="preserve">faster, </w:t>
      </w:r>
      <w:r w:rsidRPr="00153D5A">
        <w:rPr>
          <w:sz w:val="22"/>
          <w:szCs w:val="22"/>
        </w:rPr>
        <w:t>more transparent,</w:t>
      </w:r>
      <w:r w:rsidR="00057C64" w:rsidRPr="00153D5A">
        <w:rPr>
          <w:sz w:val="22"/>
          <w:szCs w:val="22"/>
        </w:rPr>
        <w:t xml:space="preserve"> more</w:t>
      </w:r>
      <w:r w:rsidRPr="00153D5A">
        <w:rPr>
          <w:sz w:val="22"/>
          <w:szCs w:val="22"/>
        </w:rPr>
        <w:t xml:space="preserve"> accessible </w:t>
      </w:r>
      <w:r w:rsidR="00057C64" w:rsidRPr="00153D5A">
        <w:rPr>
          <w:sz w:val="22"/>
          <w:szCs w:val="22"/>
        </w:rPr>
        <w:t>and more</w:t>
      </w:r>
      <w:r w:rsidR="00066CB2" w:rsidRPr="00153D5A">
        <w:rPr>
          <w:sz w:val="22"/>
          <w:szCs w:val="22"/>
        </w:rPr>
        <w:t xml:space="preserve"> </w:t>
      </w:r>
      <w:r w:rsidRPr="00153D5A">
        <w:rPr>
          <w:sz w:val="22"/>
          <w:szCs w:val="22"/>
        </w:rPr>
        <w:t>efficient than at present. Open Pharma aims to improve the publications model by connecting pharma with contemporary innovations in publishing. Open Pharma</w:t>
      </w:r>
      <w:r w:rsidR="00A452AB" w:rsidRPr="00153D5A">
        <w:rPr>
          <w:sz w:val="22"/>
          <w:szCs w:val="22"/>
        </w:rPr>
        <w:t xml:space="preserve"> is a</w:t>
      </w:r>
      <w:r w:rsidR="00854D55" w:rsidRPr="00153D5A">
        <w:rPr>
          <w:sz w:val="22"/>
          <w:szCs w:val="22"/>
        </w:rPr>
        <w:t xml:space="preserve"> </w:t>
      </w:r>
      <w:r w:rsidR="006161C6">
        <w:rPr>
          <w:sz w:val="22"/>
          <w:szCs w:val="22"/>
        </w:rPr>
        <w:t>collaboration</w:t>
      </w:r>
      <w:r w:rsidR="006161C6" w:rsidRPr="00153D5A">
        <w:rPr>
          <w:sz w:val="22"/>
          <w:szCs w:val="22"/>
        </w:rPr>
        <w:t xml:space="preserve"> </w:t>
      </w:r>
      <w:r w:rsidR="00854D55" w:rsidRPr="00153D5A">
        <w:rPr>
          <w:sz w:val="22"/>
          <w:szCs w:val="22"/>
        </w:rPr>
        <w:t xml:space="preserve">of forward-thinking </w:t>
      </w:r>
      <w:r w:rsidR="00A452AB" w:rsidRPr="00153D5A">
        <w:rPr>
          <w:sz w:val="22"/>
          <w:szCs w:val="22"/>
        </w:rPr>
        <w:t xml:space="preserve">individuals representing </w:t>
      </w:r>
      <w:proofErr w:type="gramStart"/>
      <w:r w:rsidR="001B33E3" w:rsidRPr="00153D5A">
        <w:rPr>
          <w:sz w:val="22"/>
          <w:szCs w:val="22"/>
        </w:rPr>
        <w:t>a number of</w:t>
      </w:r>
      <w:proofErr w:type="gramEnd"/>
      <w:r w:rsidR="001B33E3" w:rsidRPr="00153D5A">
        <w:rPr>
          <w:sz w:val="22"/>
          <w:szCs w:val="22"/>
        </w:rPr>
        <w:t xml:space="preserve"> </w:t>
      </w:r>
      <w:r w:rsidR="00A452AB" w:rsidRPr="00153D5A">
        <w:rPr>
          <w:sz w:val="22"/>
          <w:szCs w:val="22"/>
        </w:rPr>
        <w:t xml:space="preserve">important stakeholder groups: </w:t>
      </w:r>
      <w:r w:rsidR="004F554D">
        <w:rPr>
          <w:sz w:val="22"/>
          <w:szCs w:val="22"/>
        </w:rPr>
        <w:t>the pharmaceutical industry</w:t>
      </w:r>
      <w:r w:rsidR="00A452AB" w:rsidRPr="00153D5A">
        <w:rPr>
          <w:sz w:val="22"/>
          <w:szCs w:val="22"/>
        </w:rPr>
        <w:t xml:space="preserve">, </w:t>
      </w:r>
      <w:r w:rsidR="00854D55" w:rsidRPr="00153D5A">
        <w:rPr>
          <w:sz w:val="22"/>
          <w:szCs w:val="22"/>
        </w:rPr>
        <w:t>publishers, patients, academics, regulators, editors, non-pharmaceutical funders and societies</w:t>
      </w:r>
      <w:r w:rsidR="00057C64" w:rsidRPr="00153D5A">
        <w:rPr>
          <w:sz w:val="22"/>
          <w:szCs w:val="22"/>
        </w:rPr>
        <w:t>. Our aim</w:t>
      </w:r>
      <w:r w:rsidR="00100762">
        <w:rPr>
          <w:sz w:val="22"/>
          <w:szCs w:val="22"/>
        </w:rPr>
        <w:t>s are</w:t>
      </w:r>
      <w:r w:rsidR="00854D55" w:rsidRPr="00153D5A">
        <w:rPr>
          <w:sz w:val="22"/>
          <w:szCs w:val="22"/>
        </w:rPr>
        <w:t xml:space="preserve"> to identify </w:t>
      </w:r>
      <w:r w:rsidR="00057C64" w:rsidRPr="00153D5A">
        <w:rPr>
          <w:sz w:val="22"/>
          <w:szCs w:val="22"/>
        </w:rPr>
        <w:t xml:space="preserve">emerging trends in scholarly publishing, discuss their implications for pharma and explore how they might be used to improve the way </w:t>
      </w:r>
      <w:r w:rsidR="002414DE" w:rsidRPr="00153D5A">
        <w:rPr>
          <w:sz w:val="22"/>
          <w:szCs w:val="22"/>
        </w:rPr>
        <w:t xml:space="preserve">in which </w:t>
      </w:r>
      <w:r w:rsidR="00057C64" w:rsidRPr="00153D5A">
        <w:rPr>
          <w:sz w:val="22"/>
          <w:szCs w:val="22"/>
        </w:rPr>
        <w:t>industry</w:t>
      </w:r>
      <w:r w:rsidR="002414DE" w:rsidRPr="00153D5A">
        <w:rPr>
          <w:sz w:val="22"/>
          <w:szCs w:val="22"/>
        </w:rPr>
        <w:t>-</w:t>
      </w:r>
      <w:r w:rsidR="00057C64" w:rsidRPr="00153D5A">
        <w:rPr>
          <w:sz w:val="22"/>
          <w:szCs w:val="22"/>
        </w:rPr>
        <w:t>sponsored research is disseminated</w:t>
      </w:r>
      <w:r w:rsidR="00854D55" w:rsidRPr="00153D5A">
        <w:rPr>
          <w:sz w:val="22"/>
          <w:szCs w:val="22"/>
        </w:rPr>
        <w:t xml:space="preserve">. </w:t>
      </w:r>
      <w:r w:rsidR="00A452AB" w:rsidRPr="00153D5A">
        <w:rPr>
          <w:sz w:val="22"/>
          <w:szCs w:val="22"/>
        </w:rPr>
        <w:t>W</w:t>
      </w:r>
      <w:r w:rsidR="00854D55" w:rsidRPr="00153D5A">
        <w:rPr>
          <w:sz w:val="22"/>
          <w:szCs w:val="22"/>
        </w:rPr>
        <w:t>e hope that, through this collaboration, we can help to drive much-needed innovation.</w:t>
      </w:r>
      <w:r w:rsidR="00964171" w:rsidRPr="00153D5A">
        <w:rPr>
          <w:sz w:val="22"/>
          <w:szCs w:val="22"/>
        </w:rPr>
        <w:t xml:space="preserve"> Our work drives towards the </w:t>
      </w:r>
      <w:r w:rsidR="00854D55" w:rsidRPr="00153D5A">
        <w:rPr>
          <w:sz w:val="22"/>
          <w:szCs w:val="22"/>
        </w:rPr>
        <w:t xml:space="preserve">broad goal of improving </w:t>
      </w:r>
      <w:r w:rsidR="00964171" w:rsidRPr="00153D5A">
        <w:rPr>
          <w:sz w:val="22"/>
          <w:szCs w:val="22"/>
        </w:rPr>
        <w:t>how</w:t>
      </w:r>
      <w:r w:rsidR="00BA5F96" w:rsidRPr="00153D5A">
        <w:rPr>
          <w:sz w:val="22"/>
          <w:szCs w:val="22"/>
        </w:rPr>
        <w:t xml:space="preserve"> biomedical research</w:t>
      </w:r>
      <w:r w:rsidR="00964171" w:rsidRPr="00153D5A">
        <w:rPr>
          <w:sz w:val="22"/>
          <w:szCs w:val="22"/>
        </w:rPr>
        <w:t xml:space="preserve"> is communicated</w:t>
      </w:r>
      <w:r w:rsidR="00BA5F96" w:rsidRPr="00153D5A">
        <w:rPr>
          <w:sz w:val="22"/>
          <w:szCs w:val="22"/>
        </w:rPr>
        <w:t xml:space="preserve">, focusing on four main </w:t>
      </w:r>
      <w:r w:rsidR="00316971" w:rsidRPr="00153D5A">
        <w:rPr>
          <w:sz w:val="22"/>
          <w:szCs w:val="22"/>
        </w:rPr>
        <w:t>objectives</w:t>
      </w:r>
      <w:r w:rsidR="002414DE" w:rsidRPr="00153D5A">
        <w:rPr>
          <w:sz w:val="22"/>
          <w:szCs w:val="22"/>
        </w:rPr>
        <w:t>.</w:t>
      </w:r>
      <w:r w:rsidR="00316971" w:rsidRPr="00153D5A">
        <w:rPr>
          <w:sz w:val="22"/>
          <w:szCs w:val="22"/>
        </w:rPr>
        <w:t xml:space="preserve"> </w:t>
      </w:r>
    </w:p>
    <w:p w14:paraId="2B6F83D0" w14:textId="77777777" w:rsidR="00730DAB" w:rsidRPr="00153D5A" w:rsidRDefault="00730DAB" w:rsidP="001E13F5">
      <w:pPr>
        <w:jc w:val="both"/>
        <w:rPr>
          <w:sz w:val="22"/>
          <w:szCs w:val="22"/>
        </w:rPr>
      </w:pPr>
    </w:p>
    <w:p w14:paraId="6BECF2C7" w14:textId="0E8CF6E1" w:rsidR="00BA5F96" w:rsidRPr="00153D5A" w:rsidRDefault="00BA5F96" w:rsidP="001E13F5">
      <w:pPr>
        <w:pStyle w:val="ListParagraph"/>
        <w:numPr>
          <w:ilvl w:val="0"/>
          <w:numId w:val="19"/>
        </w:numPr>
        <w:ind w:left="426" w:hanging="426"/>
        <w:jc w:val="both"/>
        <w:rPr>
          <w:sz w:val="22"/>
          <w:szCs w:val="22"/>
        </w:rPr>
      </w:pPr>
      <w:r w:rsidRPr="00153D5A">
        <w:rPr>
          <w:b/>
          <w:sz w:val="22"/>
          <w:szCs w:val="22"/>
        </w:rPr>
        <w:t>Transparency</w:t>
      </w:r>
      <w:r w:rsidRPr="00153D5A">
        <w:rPr>
          <w:sz w:val="22"/>
          <w:szCs w:val="22"/>
        </w:rPr>
        <w:t xml:space="preserve">: to increase the transparency of </w:t>
      </w:r>
      <w:r w:rsidR="00A452AB" w:rsidRPr="00153D5A">
        <w:rPr>
          <w:sz w:val="22"/>
          <w:szCs w:val="22"/>
        </w:rPr>
        <w:t>research disclosure and the</w:t>
      </w:r>
      <w:r w:rsidRPr="00153D5A">
        <w:rPr>
          <w:sz w:val="22"/>
          <w:szCs w:val="22"/>
        </w:rPr>
        <w:t xml:space="preserve"> </w:t>
      </w:r>
      <w:r w:rsidR="004F554D">
        <w:rPr>
          <w:sz w:val="22"/>
          <w:szCs w:val="22"/>
        </w:rPr>
        <w:t xml:space="preserve">publication </w:t>
      </w:r>
      <w:r w:rsidRPr="00153D5A">
        <w:rPr>
          <w:sz w:val="22"/>
          <w:szCs w:val="22"/>
        </w:rPr>
        <w:t xml:space="preserve">process </w:t>
      </w:r>
      <w:r w:rsidR="00647EFE" w:rsidRPr="00153D5A">
        <w:rPr>
          <w:sz w:val="22"/>
          <w:szCs w:val="22"/>
        </w:rPr>
        <w:t>by</w:t>
      </w:r>
      <w:r w:rsidRPr="00153D5A">
        <w:rPr>
          <w:sz w:val="22"/>
          <w:szCs w:val="22"/>
        </w:rPr>
        <w:t xml:space="preserve"> investigat</w:t>
      </w:r>
      <w:r w:rsidR="00647EFE" w:rsidRPr="00153D5A">
        <w:rPr>
          <w:sz w:val="22"/>
          <w:szCs w:val="22"/>
        </w:rPr>
        <w:t>ing</w:t>
      </w:r>
      <w:r w:rsidRPr="00153D5A">
        <w:rPr>
          <w:sz w:val="22"/>
          <w:szCs w:val="22"/>
        </w:rPr>
        <w:t xml:space="preserve"> ways </w:t>
      </w:r>
      <w:r w:rsidR="00647EFE" w:rsidRPr="00153D5A">
        <w:rPr>
          <w:sz w:val="22"/>
          <w:szCs w:val="22"/>
        </w:rPr>
        <w:t>to maximize</w:t>
      </w:r>
      <w:r w:rsidRPr="00153D5A">
        <w:rPr>
          <w:sz w:val="22"/>
          <w:szCs w:val="22"/>
        </w:rPr>
        <w:t xml:space="preserve"> open</w:t>
      </w:r>
      <w:r w:rsidR="00647EFE" w:rsidRPr="00153D5A">
        <w:rPr>
          <w:sz w:val="22"/>
          <w:szCs w:val="22"/>
        </w:rPr>
        <w:t>ness</w:t>
      </w:r>
      <w:r w:rsidRPr="00153D5A">
        <w:rPr>
          <w:sz w:val="22"/>
          <w:szCs w:val="22"/>
        </w:rPr>
        <w:t xml:space="preserve"> while </w:t>
      </w:r>
      <w:r w:rsidR="00647EFE" w:rsidRPr="00153D5A">
        <w:rPr>
          <w:sz w:val="22"/>
          <w:szCs w:val="22"/>
        </w:rPr>
        <w:t>safeguarding</w:t>
      </w:r>
      <w:r w:rsidRPr="00153D5A">
        <w:rPr>
          <w:sz w:val="22"/>
          <w:szCs w:val="22"/>
        </w:rPr>
        <w:t xml:space="preserve"> scientific rigour</w:t>
      </w:r>
      <w:r w:rsidR="00A66F0F">
        <w:rPr>
          <w:sz w:val="22"/>
          <w:szCs w:val="22"/>
        </w:rPr>
        <w:t xml:space="preserve"> and data integrity</w:t>
      </w:r>
      <w:r w:rsidRPr="00153D5A">
        <w:rPr>
          <w:sz w:val="22"/>
          <w:szCs w:val="22"/>
        </w:rPr>
        <w:t>.</w:t>
      </w:r>
    </w:p>
    <w:p w14:paraId="7C2AA14B" w14:textId="37C86251" w:rsidR="00BA5F96" w:rsidRPr="00153D5A" w:rsidRDefault="00BA5F96" w:rsidP="001E13F5">
      <w:pPr>
        <w:pStyle w:val="ListParagraph"/>
        <w:numPr>
          <w:ilvl w:val="0"/>
          <w:numId w:val="19"/>
        </w:numPr>
        <w:ind w:left="426" w:hanging="426"/>
        <w:jc w:val="both"/>
        <w:rPr>
          <w:sz w:val="22"/>
          <w:szCs w:val="22"/>
        </w:rPr>
      </w:pPr>
      <w:r w:rsidRPr="00153D5A">
        <w:rPr>
          <w:b/>
          <w:sz w:val="22"/>
          <w:szCs w:val="22"/>
        </w:rPr>
        <w:t>Accessibility</w:t>
      </w:r>
      <w:r w:rsidRPr="00153D5A">
        <w:rPr>
          <w:sz w:val="22"/>
          <w:szCs w:val="22"/>
        </w:rPr>
        <w:t>: to make articles more widely available to</w:t>
      </w:r>
      <w:r w:rsidR="00647EFE" w:rsidRPr="00153D5A">
        <w:rPr>
          <w:sz w:val="22"/>
          <w:szCs w:val="22"/>
        </w:rPr>
        <w:t xml:space="preserve"> read and </w:t>
      </w:r>
      <w:r w:rsidR="00C277F3">
        <w:rPr>
          <w:sz w:val="22"/>
          <w:szCs w:val="22"/>
        </w:rPr>
        <w:t>reuse</w:t>
      </w:r>
      <w:r w:rsidR="00647EFE" w:rsidRPr="00153D5A">
        <w:rPr>
          <w:sz w:val="22"/>
          <w:szCs w:val="22"/>
        </w:rPr>
        <w:t xml:space="preserve"> </w:t>
      </w:r>
      <w:r w:rsidR="00C90EBF">
        <w:rPr>
          <w:sz w:val="22"/>
          <w:szCs w:val="22"/>
        </w:rPr>
        <w:t xml:space="preserve">by </w:t>
      </w:r>
      <w:r w:rsidR="004F554D">
        <w:rPr>
          <w:sz w:val="22"/>
          <w:szCs w:val="22"/>
        </w:rPr>
        <w:t>everyone</w:t>
      </w:r>
      <w:r w:rsidRPr="00153D5A">
        <w:rPr>
          <w:sz w:val="22"/>
          <w:szCs w:val="22"/>
        </w:rPr>
        <w:t>, to reduce or remove the paywalls that currently restrict access</w:t>
      </w:r>
      <w:r w:rsidR="00461902">
        <w:rPr>
          <w:sz w:val="22"/>
          <w:szCs w:val="22"/>
        </w:rPr>
        <w:t>, and to e</w:t>
      </w:r>
      <w:r w:rsidR="00E5709C">
        <w:rPr>
          <w:sz w:val="22"/>
          <w:szCs w:val="22"/>
        </w:rPr>
        <w:t xml:space="preserve">ncourage </w:t>
      </w:r>
      <w:r w:rsidR="00461902">
        <w:rPr>
          <w:sz w:val="22"/>
          <w:szCs w:val="22"/>
        </w:rPr>
        <w:t>accessible communication</w:t>
      </w:r>
      <w:r w:rsidR="001974F6">
        <w:rPr>
          <w:sz w:val="22"/>
          <w:szCs w:val="22"/>
        </w:rPr>
        <w:t>,</w:t>
      </w:r>
      <w:r w:rsidR="00461902">
        <w:rPr>
          <w:sz w:val="22"/>
          <w:szCs w:val="22"/>
        </w:rPr>
        <w:t xml:space="preserve"> such as </w:t>
      </w:r>
      <w:r w:rsidR="005D73A3">
        <w:rPr>
          <w:sz w:val="22"/>
          <w:szCs w:val="22"/>
        </w:rPr>
        <w:t>p</w:t>
      </w:r>
      <w:r w:rsidR="00E5709C">
        <w:rPr>
          <w:sz w:val="22"/>
          <w:szCs w:val="22"/>
        </w:rPr>
        <w:t xml:space="preserve">lain </w:t>
      </w:r>
      <w:r w:rsidR="007B5BC6">
        <w:rPr>
          <w:sz w:val="22"/>
          <w:szCs w:val="22"/>
        </w:rPr>
        <w:t>l</w:t>
      </w:r>
      <w:r w:rsidR="00E5709C">
        <w:rPr>
          <w:sz w:val="22"/>
          <w:szCs w:val="22"/>
        </w:rPr>
        <w:t xml:space="preserve">anguage </w:t>
      </w:r>
      <w:r w:rsidR="007B5BC6">
        <w:rPr>
          <w:sz w:val="22"/>
          <w:szCs w:val="22"/>
        </w:rPr>
        <w:t>s</w:t>
      </w:r>
      <w:r w:rsidR="00E5709C">
        <w:rPr>
          <w:sz w:val="22"/>
          <w:szCs w:val="22"/>
        </w:rPr>
        <w:t>ummaries</w:t>
      </w:r>
      <w:r w:rsidR="001974F6">
        <w:rPr>
          <w:sz w:val="22"/>
          <w:szCs w:val="22"/>
        </w:rPr>
        <w:t>,</w:t>
      </w:r>
      <w:r w:rsidR="00E5709C">
        <w:rPr>
          <w:sz w:val="22"/>
          <w:szCs w:val="22"/>
        </w:rPr>
        <w:t xml:space="preserve"> for all </w:t>
      </w:r>
      <w:r w:rsidR="006161C6">
        <w:rPr>
          <w:sz w:val="22"/>
          <w:szCs w:val="22"/>
        </w:rPr>
        <w:t>peer-reviewed publications</w:t>
      </w:r>
      <w:r w:rsidR="00E5709C">
        <w:rPr>
          <w:sz w:val="22"/>
          <w:szCs w:val="22"/>
        </w:rPr>
        <w:t xml:space="preserve">. </w:t>
      </w:r>
    </w:p>
    <w:p w14:paraId="0A7AB4C2" w14:textId="1D709219" w:rsidR="00BA5F96" w:rsidRPr="00153D5A" w:rsidRDefault="00BA5F96" w:rsidP="001E13F5">
      <w:pPr>
        <w:pStyle w:val="ListParagraph"/>
        <w:numPr>
          <w:ilvl w:val="0"/>
          <w:numId w:val="19"/>
        </w:numPr>
        <w:ind w:left="426" w:hanging="426"/>
        <w:jc w:val="both"/>
        <w:rPr>
          <w:sz w:val="22"/>
          <w:szCs w:val="22"/>
        </w:rPr>
      </w:pPr>
      <w:r w:rsidRPr="00153D5A">
        <w:rPr>
          <w:b/>
          <w:sz w:val="22"/>
          <w:szCs w:val="22"/>
        </w:rPr>
        <w:t>Speed</w:t>
      </w:r>
      <w:r w:rsidRPr="00153D5A">
        <w:rPr>
          <w:sz w:val="22"/>
          <w:szCs w:val="22"/>
        </w:rPr>
        <w:t>: to reduce the time bet</w:t>
      </w:r>
      <w:r w:rsidR="00067686" w:rsidRPr="00153D5A">
        <w:rPr>
          <w:sz w:val="22"/>
          <w:szCs w:val="22"/>
        </w:rPr>
        <w:t xml:space="preserve">ween submission and publication by identifying </w:t>
      </w:r>
      <w:r w:rsidR="00E62EDB" w:rsidRPr="00153D5A">
        <w:rPr>
          <w:sz w:val="22"/>
          <w:szCs w:val="22"/>
        </w:rPr>
        <w:t xml:space="preserve">innovative </w:t>
      </w:r>
      <w:r w:rsidR="00067686" w:rsidRPr="00153D5A">
        <w:rPr>
          <w:sz w:val="22"/>
          <w:szCs w:val="22"/>
        </w:rPr>
        <w:t xml:space="preserve">models of review and production suitable for </w:t>
      </w:r>
      <w:r w:rsidR="00A50CA5">
        <w:rPr>
          <w:sz w:val="22"/>
          <w:szCs w:val="22"/>
        </w:rPr>
        <w:t xml:space="preserve">publishing </w:t>
      </w:r>
      <w:r w:rsidR="00461902">
        <w:rPr>
          <w:sz w:val="22"/>
          <w:szCs w:val="22"/>
        </w:rPr>
        <w:t>industry</w:t>
      </w:r>
      <w:r w:rsidR="0087253C">
        <w:rPr>
          <w:sz w:val="22"/>
          <w:szCs w:val="22"/>
        </w:rPr>
        <w:t>-</w:t>
      </w:r>
      <w:r w:rsidR="00A50CA5">
        <w:rPr>
          <w:sz w:val="22"/>
          <w:szCs w:val="22"/>
        </w:rPr>
        <w:t>sponsored research</w:t>
      </w:r>
      <w:r w:rsidR="00067686" w:rsidRPr="00153D5A">
        <w:rPr>
          <w:sz w:val="22"/>
          <w:szCs w:val="22"/>
        </w:rPr>
        <w:t>.</w:t>
      </w:r>
    </w:p>
    <w:p w14:paraId="2075295B" w14:textId="6DAE0E7D" w:rsidR="00BA5F96" w:rsidRPr="00153D5A" w:rsidRDefault="00BA5F96" w:rsidP="001E13F5">
      <w:pPr>
        <w:pStyle w:val="ListParagraph"/>
        <w:numPr>
          <w:ilvl w:val="0"/>
          <w:numId w:val="19"/>
        </w:numPr>
        <w:ind w:left="426" w:hanging="426"/>
        <w:jc w:val="both"/>
        <w:rPr>
          <w:sz w:val="22"/>
          <w:szCs w:val="22"/>
        </w:rPr>
      </w:pPr>
      <w:r w:rsidRPr="00153D5A">
        <w:rPr>
          <w:b/>
          <w:sz w:val="22"/>
          <w:szCs w:val="22"/>
        </w:rPr>
        <w:t>Efficiency</w:t>
      </w:r>
      <w:r w:rsidRPr="00153D5A">
        <w:rPr>
          <w:sz w:val="22"/>
          <w:szCs w:val="22"/>
        </w:rPr>
        <w:t xml:space="preserve">: to reduce the administrative burden of publishing articles by </w:t>
      </w:r>
      <w:r w:rsidR="00067686" w:rsidRPr="00153D5A">
        <w:rPr>
          <w:sz w:val="22"/>
          <w:szCs w:val="22"/>
        </w:rPr>
        <w:t xml:space="preserve">contributing to </w:t>
      </w:r>
      <w:r w:rsidR="00C277F3">
        <w:rPr>
          <w:sz w:val="22"/>
          <w:szCs w:val="22"/>
        </w:rPr>
        <w:t xml:space="preserve">the </w:t>
      </w:r>
      <w:r w:rsidR="00067686" w:rsidRPr="00153D5A">
        <w:rPr>
          <w:sz w:val="22"/>
          <w:szCs w:val="22"/>
        </w:rPr>
        <w:t>development and uptake of systems for</w:t>
      </w:r>
      <w:r w:rsidRPr="00153D5A">
        <w:rPr>
          <w:sz w:val="22"/>
          <w:szCs w:val="22"/>
        </w:rPr>
        <w:t xml:space="preserve"> </w:t>
      </w:r>
      <w:r w:rsidR="00067686" w:rsidRPr="00153D5A">
        <w:rPr>
          <w:sz w:val="22"/>
          <w:szCs w:val="22"/>
        </w:rPr>
        <w:t>identification,</w:t>
      </w:r>
      <w:r w:rsidRPr="00153D5A">
        <w:rPr>
          <w:sz w:val="22"/>
          <w:szCs w:val="22"/>
        </w:rPr>
        <w:t xml:space="preserve"> formatting, submission and compliance processes that </w:t>
      </w:r>
      <w:r w:rsidR="00067686" w:rsidRPr="00153D5A">
        <w:rPr>
          <w:sz w:val="22"/>
          <w:szCs w:val="22"/>
        </w:rPr>
        <w:t>work</w:t>
      </w:r>
      <w:r w:rsidRPr="00153D5A">
        <w:rPr>
          <w:sz w:val="22"/>
          <w:szCs w:val="22"/>
        </w:rPr>
        <w:t xml:space="preserve"> across journals.</w:t>
      </w:r>
    </w:p>
    <w:p w14:paraId="49C04859" w14:textId="4BDD0653" w:rsidR="00F032B8" w:rsidRPr="00153D5A" w:rsidRDefault="00F032B8" w:rsidP="001E13F5">
      <w:pPr>
        <w:jc w:val="both"/>
        <w:rPr>
          <w:sz w:val="22"/>
          <w:szCs w:val="22"/>
        </w:rPr>
      </w:pPr>
    </w:p>
    <w:p w14:paraId="70A45253" w14:textId="02A1864D" w:rsidR="00F65AE3" w:rsidRPr="00153D5A" w:rsidRDefault="00F65AE3" w:rsidP="001E13F5">
      <w:pPr>
        <w:pStyle w:val="Heading1"/>
        <w:jc w:val="both"/>
        <w:rPr>
          <w:sz w:val="22"/>
          <w:szCs w:val="22"/>
        </w:rPr>
      </w:pPr>
      <w:r w:rsidRPr="00153D5A">
        <w:rPr>
          <w:sz w:val="22"/>
          <w:szCs w:val="22"/>
        </w:rPr>
        <w:t xml:space="preserve">Article </w:t>
      </w:r>
      <w:r w:rsidR="006F253A" w:rsidRPr="00153D5A">
        <w:rPr>
          <w:sz w:val="22"/>
          <w:szCs w:val="22"/>
        </w:rPr>
        <w:t>2</w:t>
      </w:r>
      <w:r w:rsidRPr="00153D5A">
        <w:rPr>
          <w:sz w:val="22"/>
          <w:szCs w:val="22"/>
        </w:rPr>
        <w:t xml:space="preserve">. </w:t>
      </w:r>
      <w:r w:rsidR="006F253A" w:rsidRPr="00153D5A">
        <w:rPr>
          <w:sz w:val="22"/>
          <w:szCs w:val="22"/>
        </w:rPr>
        <w:t>Participants</w:t>
      </w:r>
    </w:p>
    <w:p w14:paraId="2755FFF3" w14:textId="5907B1F0" w:rsidR="00BA5F96" w:rsidRPr="00153D5A" w:rsidRDefault="006F253A" w:rsidP="001E13F5">
      <w:pPr>
        <w:jc w:val="both"/>
        <w:rPr>
          <w:sz w:val="22"/>
          <w:szCs w:val="22"/>
        </w:rPr>
      </w:pPr>
      <w:r w:rsidRPr="00153D5A">
        <w:rPr>
          <w:sz w:val="22"/>
          <w:szCs w:val="22"/>
        </w:rPr>
        <w:t xml:space="preserve">Participation in Open Pharma </w:t>
      </w:r>
      <w:r w:rsidR="00F032B8" w:rsidRPr="00153D5A">
        <w:rPr>
          <w:sz w:val="22"/>
          <w:szCs w:val="22"/>
        </w:rPr>
        <w:t xml:space="preserve">is </w:t>
      </w:r>
      <w:r w:rsidRPr="00153D5A">
        <w:rPr>
          <w:sz w:val="22"/>
          <w:szCs w:val="22"/>
        </w:rPr>
        <w:t>by invitation only to eligible companies, organi</w:t>
      </w:r>
      <w:r w:rsidR="00F749AF" w:rsidRPr="00153D5A">
        <w:rPr>
          <w:sz w:val="22"/>
          <w:szCs w:val="22"/>
        </w:rPr>
        <w:t>z</w:t>
      </w:r>
      <w:r w:rsidRPr="00153D5A">
        <w:rPr>
          <w:sz w:val="22"/>
          <w:szCs w:val="22"/>
        </w:rPr>
        <w:t>ations and individuals who are stakeholders in medical publishing. Open Pharma is</w:t>
      </w:r>
      <w:r w:rsidR="00115313" w:rsidRPr="00153D5A">
        <w:rPr>
          <w:sz w:val="22"/>
          <w:szCs w:val="22"/>
        </w:rPr>
        <w:t xml:space="preserve"> </w:t>
      </w:r>
      <w:r w:rsidRPr="00153D5A">
        <w:rPr>
          <w:sz w:val="22"/>
          <w:szCs w:val="22"/>
        </w:rPr>
        <w:t xml:space="preserve">funded by voluntary </w:t>
      </w:r>
      <w:r w:rsidR="00F032B8" w:rsidRPr="00153D5A">
        <w:rPr>
          <w:sz w:val="22"/>
          <w:szCs w:val="22"/>
        </w:rPr>
        <w:t>contributions</w:t>
      </w:r>
      <w:r w:rsidRPr="00153D5A">
        <w:rPr>
          <w:sz w:val="22"/>
          <w:szCs w:val="22"/>
        </w:rPr>
        <w:t xml:space="preserve">, </w:t>
      </w:r>
      <w:r w:rsidR="00EC6327" w:rsidRPr="00153D5A">
        <w:rPr>
          <w:sz w:val="22"/>
          <w:szCs w:val="22"/>
        </w:rPr>
        <w:t>and</w:t>
      </w:r>
      <w:r w:rsidR="00D43227" w:rsidRPr="00153D5A">
        <w:rPr>
          <w:sz w:val="22"/>
          <w:szCs w:val="22"/>
        </w:rPr>
        <w:t xml:space="preserve"> both</w:t>
      </w:r>
      <w:r w:rsidR="00EC6327" w:rsidRPr="00153D5A">
        <w:rPr>
          <w:sz w:val="22"/>
          <w:szCs w:val="22"/>
        </w:rPr>
        <w:t xml:space="preserve"> </w:t>
      </w:r>
      <w:r w:rsidR="00F032B8" w:rsidRPr="00153D5A">
        <w:rPr>
          <w:sz w:val="22"/>
          <w:szCs w:val="22"/>
        </w:rPr>
        <w:t>financial</w:t>
      </w:r>
      <w:r w:rsidR="00EC6327" w:rsidRPr="00153D5A">
        <w:rPr>
          <w:sz w:val="22"/>
          <w:szCs w:val="22"/>
        </w:rPr>
        <w:t xml:space="preserve"> </w:t>
      </w:r>
      <w:r w:rsidR="00BA5F96" w:rsidRPr="00153D5A">
        <w:rPr>
          <w:sz w:val="22"/>
          <w:szCs w:val="22"/>
        </w:rPr>
        <w:t xml:space="preserve">and non-financial </w:t>
      </w:r>
      <w:r w:rsidR="00EC6327" w:rsidRPr="00153D5A">
        <w:rPr>
          <w:sz w:val="22"/>
          <w:szCs w:val="22"/>
        </w:rPr>
        <w:t>supporters</w:t>
      </w:r>
      <w:r w:rsidR="00356A4E" w:rsidRPr="00153D5A">
        <w:rPr>
          <w:sz w:val="22"/>
          <w:szCs w:val="22"/>
        </w:rPr>
        <w:t xml:space="preserve"> can influence the direction of the project.</w:t>
      </w:r>
      <w:r w:rsidR="00EB7AE8" w:rsidRPr="00153D5A">
        <w:rPr>
          <w:sz w:val="22"/>
          <w:szCs w:val="22"/>
        </w:rPr>
        <w:t xml:space="preserve"> </w:t>
      </w:r>
      <w:r w:rsidR="00BA5F96" w:rsidRPr="00153D5A">
        <w:rPr>
          <w:sz w:val="22"/>
          <w:szCs w:val="22"/>
        </w:rPr>
        <w:t>Individuals or organi</w:t>
      </w:r>
      <w:r w:rsidR="00F749AF" w:rsidRPr="00153D5A">
        <w:rPr>
          <w:sz w:val="22"/>
          <w:szCs w:val="22"/>
        </w:rPr>
        <w:t>z</w:t>
      </w:r>
      <w:r w:rsidR="00BA5F96" w:rsidRPr="00153D5A">
        <w:rPr>
          <w:sz w:val="22"/>
          <w:szCs w:val="22"/>
        </w:rPr>
        <w:t>ations who are debarred, suspended, excluded or otherwise dec</w:t>
      </w:r>
      <w:r w:rsidR="00115313" w:rsidRPr="00153D5A">
        <w:rPr>
          <w:sz w:val="22"/>
          <w:szCs w:val="22"/>
        </w:rPr>
        <w:t xml:space="preserve">lared ineligible from any </w:t>
      </w:r>
      <w:r w:rsidR="005D73A3">
        <w:rPr>
          <w:sz w:val="22"/>
          <w:szCs w:val="22"/>
        </w:rPr>
        <w:t>s</w:t>
      </w:r>
      <w:r w:rsidR="00115313" w:rsidRPr="007B5BC6">
        <w:rPr>
          <w:sz w:val="22"/>
          <w:szCs w:val="22"/>
        </w:rPr>
        <w:t>tate</w:t>
      </w:r>
      <w:r w:rsidR="00115313" w:rsidRPr="00153D5A">
        <w:rPr>
          <w:sz w:val="22"/>
          <w:szCs w:val="22"/>
        </w:rPr>
        <w:t xml:space="preserve">, </w:t>
      </w:r>
      <w:r w:rsidR="005D73A3">
        <w:rPr>
          <w:sz w:val="22"/>
          <w:szCs w:val="22"/>
        </w:rPr>
        <w:t>f</w:t>
      </w:r>
      <w:r w:rsidR="00BA5F96" w:rsidRPr="00153D5A">
        <w:rPr>
          <w:sz w:val="22"/>
          <w:szCs w:val="22"/>
        </w:rPr>
        <w:t>ederal</w:t>
      </w:r>
      <w:r w:rsidR="00115313" w:rsidRPr="00153D5A">
        <w:rPr>
          <w:sz w:val="22"/>
          <w:szCs w:val="22"/>
        </w:rPr>
        <w:t>, national or international</w:t>
      </w:r>
      <w:r w:rsidR="00BA5F96" w:rsidRPr="00153D5A">
        <w:rPr>
          <w:sz w:val="22"/>
          <w:szCs w:val="22"/>
        </w:rPr>
        <w:t xml:space="preserve"> agency or program</w:t>
      </w:r>
      <w:r w:rsidR="002414DE" w:rsidRPr="00153D5A">
        <w:rPr>
          <w:sz w:val="22"/>
          <w:szCs w:val="22"/>
        </w:rPr>
        <w:t>me</w:t>
      </w:r>
      <w:r w:rsidR="00BA5F96" w:rsidRPr="00153D5A">
        <w:rPr>
          <w:sz w:val="22"/>
          <w:szCs w:val="22"/>
        </w:rPr>
        <w:t xml:space="preserve"> will not be able to participate in Open Pharma.</w:t>
      </w:r>
      <w:r w:rsidR="00EB7AE8" w:rsidRPr="00153D5A">
        <w:rPr>
          <w:sz w:val="22"/>
          <w:szCs w:val="22"/>
        </w:rPr>
        <w:t xml:space="preserve"> The final decisions on project direction and participation remain with the </w:t>
      </w:r>
      <w:r w:rsidR="001521AD">
        <w:rPr>
          <w:sz w:val="22"/>
          <w:szCs w:val="22"/>
        </w:rPr>
        <w:t xml:space="preserve">Open Pharma </w:t>
      </w:r>
      <w:r w:rsidR="00EB7AE8" w:rsidRPr="00153D5A">
        <w:rPr>
          <w:sz w:val="22"/>
          <w:szCs w:val="22"/>
        </w:rPr>
        <w:t>Steering Committee.</w:t>
      </w:r>
      <w:r w:rsidR="00311B74" w:rsidRPr="00153D5A">
        <w:rPr>
          <w:noProof/>
        </w:rPr>
        <w:t xml:space="preserve"> </w:t>
      </w:r>
    </w:p>
    <w:p w14:paraId="2948E4B8" w14:textId="26DA230D" w:rsidR="00BA5F96" w:rsidRDefault="00BA5F96" w:rsidP="001E13F5">
      <w:pPr>
        <w:jc w:val="both"/>
        <w:rPr>
          <w:sz w:val="22"/>
          <w:szCs w:val="22"/>
        </w:rPr>
      </w:pPr>
    </w:p>
    <w:p w14:paraId="197F70FB" w14:textId="491E1D0F" w:rsidR="00E777ED" w:rsidRDefault="00E777ED" w:rsidP="001E13F5">
      <w:pPr>
        <w:jc w:val="both"/>
        <w:rPr>
          <w:sz w:val="22"/>
          <w:szCs w:val="22"/>
        </w:rPr>
      </w:pPr>
    </w:p>
    <w:p w14:paraId="234D940E" w14:textId="72359B20" w:rsidR="00E777ED" w:rsidRDefault="00E777ED" w:rsidP="001E13F5">
      <w:pPr>
        <w:jc w:val="both"/>
        <w:rPr>
          <w:sz w:val="22"/>
          <w:szCs w:val="22"/>
        </w:rPr>
      </w:pPr>
    </w:p>
    <w:p w14:paraId="0D8D03C1" w14:textId="77777777" w:rsidR="00E777ED" w:rsidRPr="00153D5A" w:rsidRDefault="00E777ED" w:rsidP="001E13F5">
      <w:pPr>
        <w:jc w:val="both"/>
        <w:rPr>
          <w:sz w:val="22"/>
          <w:szCs w:val="22"/>
        </w:rPr>
      </w:pPr>
    </w:p>
    <w:p w14:paraId="6C7B3FB5" w14:textId="174233C0" w:rsidR="00067686" w:rsidRPr="00153D5A" w:rsidRDefault="00067686" w:rsidP="001E13F5">
      <w:pPr>
        <w:pStyle w:val="Heading2"/>
        <w:jc w:val="both"/>
        <w:rPr>
          <w:sz w:val="22"/>
          <w:szCs w:val="22"/>
        </w:rPr>
      </w:pPr>
      <w:r w:rsidRPr="00153D5A">
        <w:rPr>
          <w:sz w:val="22"/>
          <w:szCs w:val="22"/>
        </w:rPr>
        <w:t>Section 1. Secretariat</w:t>
      </w:r>
    </w:p>
    <w:p w14:paraId="5A8EAC4C" w14:textId="158C947C" w:rsidR="001B33E3" w:rsidRPr="00153D5A" w:rsidRDefault="00EF4D83">
      <w:pPr>
        <w:pStyle w:val="ListBullet"/>
        <w:numPr>
          <w:ilvl w:val="0"/>
          <w:numId w:val="0"/>
        </w:numPr>
        <w:jc w:val="both"/>
        <w:rPr>
          <w:sz w:val="22"/>
          <w:szCs w:val="22"/>
        </w:rPr>
      </w:pPr>
      <w:r w:rsidRPr="00153D5A">
        <w:rPr>
          <w:sz w:val="22"/>
          <w:szCs w:val="22"/>
        </w:rPr>
        <w:t>Open Pharma</w:t>
      </w:r>
      <w:r w:rsidRPr="00153D5A">
        <w:rPr>
          <w:rFonts w:cstheme="minorHAnsi"/>
          <w:sz w:val="22"/>
          <w:szCs w:val="22"/>
        </w:rPr>
        <w:t>™</w:t>
      </w:r>
      <w:r w:rsidRPr="00153D5A">
        <w:rPr>
          <w:sz w:val="22"/>
          <w:szCs w:val="22"/>
        </w:rPr>
        <w:t xml:space="preserve"> is a </w:t>
      </w:r>
      <w:r w:rsidR="002414DE" w:rsidRPr="00153D5A">
        <w:rPr>
          <w:sz w:val="22"/>
          <w:szCs w:val="22"/>
        </w:rPr>
        <w:t>trademark</w:t>
      </w:r>
      <w:r w:rsidRPr="00153D5A">
        <w:rPr>
          <w:sz w:val="22"/>
          <w:szCs w:val="22"/>
        </w:rPr>
        <w:t xml:space="preserve"> and</w:t>
      </w:r>
      <w:r w:rsidR="00067686" w:rsidRPr="00153D5A">
        <w:rPr>
          <w:sz w:val="22"/>
          <w:szCs w:val="22"/>
        </w:rPr>
        <w:t xml:space="preserve"> project of Oxford PharmaGenesis, Tubney Warren Barn,</w:t>
      </w:r>
      <w:r w:rsidR="00C277F3">
        <w:rPr>
          <w:sz w:val="22"/>
          <w:szCs w:val="22"/>
        </w:rPr>
        <w:t xml:space="preserve"> Tubney,</w:t>
      </w:r>
      <w:r w:rsidR="00067686" w:rsidRPr="00153D5A">
        <w:rPr>
          <w:sz w:val="22"/>
          <w:szCs w:val="22"/>
        </w:rPr>
        <w:t xml:space="preserve"> Oxford, OX13 5QJ, UK, a </w:t>
      </w:r>
      <w:r w:rsidR="001B33E3" w:rsidRPr="00153D5A">
        <w:rPr>
          <w:sz w:val="22"/>
          <w:szCs w:val="22"/>
        </w:rPr>
        <w:t>limited</w:t>
      </w:r>
      <w:r w:rsidR="00067686" w:rsidRPr="00153D5A">
        <w:rPr>
          <w:sz w:val="22"/>
          <w:szCs w:val="22"/>
        </w:rPr>
        <w:t xml:space="preserve"> company</w:t>
      </w:r>
      <w:r w:rsidR="001B33E3" w:rsidRPr="00153D5A">
        <w:rPr>
          <w:sz w:val="22"/>
          <w:szCs w:val="22"/>
        </w:rPr>
        <w:t xml:space="preserve"> incorporated under the laws of England and Wales</w:t>
      </w:r>
      <w:r w:rsidR="00067686" w:rsidRPr="00153D5A">
        <w:rPr>
          <w:sz w:val="22"/>
          <w:szCs w:val="22"/>
        </w:rPr>
        <w:t xml:space="preserve">. </w:t>
      </w:r>
    </w:p>
    <w:p w14:paraId="4E7148A8" w14:textId="77777777" w:rsidR="001B33E3" w:rsidRPr="00153D5A" w:rsidRDefault="001B33E3">
      <w:pPr>
        <w:pStyle w:val="ListBullet"/>
        <w:numPr>
          <w:ilvl w:val="0"/>
          <w:numId w:val="0"/>
        </w:numPr>
        <w:jc w:val="both"/>
        <w:rPr>
          <w:sz w:val="22"/>
          <w:szCs w:val="22"/>
        </w:rPr>
      </w:pPr>
    </w:p>
    <w:p w14:paraId="4F47ECED" w14:textId="7A49629C" w:rsidR="00067686" w:rsidRPr="00153D5A" w:rsidRDefault="001B33E3" w:rsidP="002E253E">
      <w:pPr>
        <w:pStyle w:val="ListBullet"/>
        <w:numPr>
          <w:ilvl w:val="0"/>
          <w:numId w:val="0"/>
        </w:numPr>
        <w:jc w:val="both"/>
        <w:rPr>
          <w:sz w:val="22"/>
          <w:szCs w:val="22"/>
        </w:rPr>
      </w:pPr>
      <w:r w:rsidRPr="00153D5A">
        <w:rPr>
          <w:sz w:val="22"/>
          <w:szCs w:val="22"/>
        </w:rPr>
        <w:t xml:space="preserve">Open Pharma </w:t>
      </w:r>
      <w:r w:rsidR="00067686" w:rsidRPr="00153D5A">
        <w:rPr>
          <w:sz w:val="22"/>
          <w:szCs w:val="22"/>
        </w:rPr>
        <w:t>is not a profit-seeking project, and Oxford PharmaGenesis contributes much of the time spent by its staff on Open Pharma at no cost t</w:t>
      </w:r>
      <w:r w:rsidRPr="00153D5A">
        <w:rPr>
          <w:sz w:val="22"/>
          <w:szCs w:val="22"/>
        </w:rPr>
        <w:t>o</w:t>
      </w:r>
      <w:r w:rsidR="00067686" w:rsidRPr="00153D5A">
        <w:rPr>
          <w:sz w:val="22"/>
          <w:szCs w:val="22"/>
        </w:rPr>
        <w:t xml:space="preserve"> the project or its other </w:t>
      </w:r>
      <w:r w:rsidRPr="00153D5A">
        <w:rPr>
          <w:sz w:val="22"/>
          <w:szCs w:val="22"/>
        </w:rPr>
        <w:t xml:space="preserve">corporate </w:t>
      </w:r>
      <w:r w:rsidR="00067686" w:rsidRPr="00153D5A">
        <w:rPr>
          <w:sz w:val="22"/>
          <w:szCs w:val="22"/>
        </w:rPr>
        <w:t>supporters. As part of the work needed to run Open Pharma, Oxford PharmaGenesis provides a secretariat service, acting with direction from the Steering Committee and Chair</w:t>
      </w:r>
      <w:r w:rsidR="002414DE" w:rsidRPr="00153D5A">
        <w:rPr>
          <w:sz w:val="22"/>
          <w:szCs w:val="22"/>
        </w:rPr>
        <w:t>,</w:t>
      </w:r>
      <w:r w:rsidRPr="00153D5A">
        <w:rPr>
          <w:sz w:val="22"/>
          <w:szCs w:val="22"/>
        </w:rPr>
        <w:t xml:space="preserve"> including </w:t>
      </w:r>
      <w:r w:rsidR="00067686" w:rsidRPr="00153D5A">
        <w:rPr>
          <w:sz w:val="22"/>
          <w:szCs w:val="22"/>
        </w:rPr>
        <w:t>structur</w:t>
      </w:r>
      <w:r w:rsidRPr="00153D5A">
        <w:rPr>
          <w:sz w:val="22"/>
          <w:szCs w:val="22"/>
        </w:rPr>
        <w:t>ing</w:t>
      </w:r>
      <w:r w:rsidR="00067686" w:rsidRPr="00153D5A">
        <w:rPr>
          <w:sz w:val="22"/>
          <w:szCs w:val="22"/>
        </w:rPr>
        <w:t>, facilitat</w:t>
      </w:r>
      <w:r w:rsidRPr="00153D5A">
        <w:rPr>
          <w:sz w:val="22"/>
          <w:szCs w:val="22"/>
        </w:rPr>
        <w:t>ing</w:t>
      </w:r>
      <w:r w:rsidR="00067686" w:rsidRPr="00153D5A">
        <w:rPr>
          <w:sz w:val="22"/>
          <w:szCs w:val="22"/>
        </w:rPr>
        <w:t xml:space="preserve"> and report</w:t>
      </w:r>
      <w:r w:rsidRPr="00153D5A">
        <w:rPr>
          <w:sz w:val="22"/>
          <w:szCs w:val="22"/>
        </w:rPr>
        <w:t>ing</w:t>
      </w:r>
      <w:r w:rsidR="00067686" w:rsidRPr="00153D5A">
        <w:rPr>
          <w:sz w:val="22"/>
          <w:szCs w:val="22"/>
        </w:rPr>
        <w:t xml:space="preserve"> on discussions, and develop</w:t>
      </w:r>
      <w:r w:rsidRPr="00153D5A">
        <w:rPr>
          <w:sz w:val="22"/>
          <w:szCs w:val="22"/>
        </w:rPr>
        <w:t>ing</w:t>
      </w:r>
      <w:r w:rsidR="00067686" w:rsidRPr="00153D5A">
        <w:rPr>
          <w:sz w:val="22"/>
          <w:szCs w:val="22"/>
        </w:rPr>
        <w:t xml:space="preserve"> materials as needed. </w:t>
      </w:r>
    </w:p>
    <w:p w14:paraId="155928C7" w14:textId="77777777" w:rsidR="006F253A" w:rsidRPr="00153D5A" w:rsidRDefault="006F253A" w:rsidP="002E253E">
      <w:pPr>
        <w:jc w:val="both"/>
        <w:rPr>
          <w:sz w:val="22"/>
          <w:szCs w:val="22"/>
        </w:rPr>
      </w:pPr>
    </w:p>
    <w:p w14:paraId="187E0441" w14:textId="6C58F301" w:rsidR="00356A4E" w:rsidRPr="00153D5A" w:rsidRDefault="00BA5F96" w:rsidP="002E253E">
      <w:pPr>
        <w:pStyle w:val="Heading2"/>
        <w:jc w:val="both"/>
        <w:rPr>
          <w:sz w:val="22"/>
          <w:szCs w:val="22"/>
        </w:rPr>
      </w:pPr>
      <w:r w:rsidRPr="00153D5A">
        <w:rPr>
          <w:sz w:val="22"/>
          <w:szCs w:val="22"/>
        </w:rPr>
        <w:t xml:space="preserve">Section </w:t>
      </w:r>
      <w:r w:rsidR="00067686" w:rsidRPr="00153D5A">
        <w:rPr>
          <w:sz w:val="22"/>
          <w:szCs w:val="22"/>
        </w:rPr>
        <w:t>2</w:t>
      </w:r>
      <w:r w:rsidRPr="00153D5A">
        <w:rPr>
          <w:sz w:val="22"/>
          <w:szCs w:val="22"/>
        </w:rPr>
        <w:t>. Non-f</w:t>
      </w:r>
      <w:r w:rsidR="00356A4E" w:rsidRPr="00153D5A">
        <w:rPr>
          <w:sz w:val="22"/>
          <w:szCs w:val="22"/>
        </w:rPr>
        <w:t xml:space="preserve">unding </w:t>
      </w:r>
      <w:r w:rsidR="00964171" w:rsidRPr="00153D5A">
        <w:rPr>
          <w:sz w:val="22"/>
          <w:szCs w:val="22"/>
        </w:rPr>
        <w:t>advis</w:t>
      </w:r>
      <w:r w:rsidR="00100762">
        <w:rPr>
          <w:sz w:val="22"/>
          <w:szCs w:val="22"/>
        </w:rPr>
        <w:t>e</w:t>
      </w:r>
      <w:r w:rsidR="00964171" w:rsidRPr="00153D5A">
        <w:rPr>
          <w:sz w:val="22"/>
          <w:szCs w:val="22"/>
        </w:rPr>
        <w:t>rs</w:t>
      </w:r>
    </w:p>
    <w:p w14:paraId="357600AA" w14:textId="2B6F62C7" w:rsidR="00356A4E" w:rsidRPr="00153D5A" w:rsidRDefault="00100762" w:rsidP="002E253E">
      <w:pPr>
        <w:jc w:val="both"/>
        <w:rPr>
          <w:sz w:val="22"/>
          <w:szCs w:val="22"/>
        </w:rPr>
      </w:pPr>
      <w:r>
        <w:rPr>
          <w:sz w:val="22"/>
          <w:szCs w:val="22"/>
        </w:rPr>
        <w:t>Adviser</w:t>
      </w:r>
      <w:r w:rsidR="00964171" w:rsidRPr="00153D5A">
        <w:rPr>
          <w:sz w:val="22"/>
          <w:szCs w:val="22"/>
        </w:rPr>
        <w:t xml:space="preserve">s </w:t>
      </w:r>
      <w:r w:rsidR="004136F2" w:rsidRPr="00153D5A">
        <w:rPr>
          <w:sz w:val="22"/>
          <w:szCs w:val="22"/>
        </w:rPr>
        <w:t xml:space="preserve">are </w:t>
      </w:r>
      <w:r w:rsidR="00AD7476" w:rsidRPr="00153D5A">
        <w:rPr>
          <w:sz w:val="22"/>
          <w:szCs w:val="22"/>
        </w:rPr>
        <w:t>invited by Oxford PharmaGenesis to take part in specific activities</w:t>
      </w:r>
      <w:r w:rsidR="002414DE" w:rsidRPr="00153D5A">
        <w:rPr>
          <w:sz w:val="22"/>
          <w:szCs w:val="22"/>
        </w:rPr>
        <w:t>,</w:t>
      </w:r>
      <w:r w:rsidR="00AD7476" w:rsidRPr="00153D5A">
        <w:rPr>
          <w:sz w:val="22"/>
          <w:szCs w:val="22"/>
        </w:rPr>
        <w:t xml:space="preserve"> such as presenting at a workstream meeting, or to join a more general list of interested parties who will be contacted for their interest </w:t>
      </w:r>
      <w:r w:rsidR="006161C6">
        <w:rPr>
          <w:sz w:val="22"/>
          <w:szCs w:val="22"/>
        </w:rPr>
        <w:t xml:space="preserve">in involvement </w:t>
      </w:r>
      <w:r w:rsidR="00AD7476" w:rsidRPr="00153D5A">
        <w:rPr>
          <w:sz w:val="22"/>
          <w:szCs w:val="22"/>
        </w:rPr>
        <w:t xml:space="preserve">in </w:t>
      </w:r>
      <w:r w:rsidR="00B939FF" w:rsidRPr="00153D5A">
        <w:rPr>
          <w:sz w:val="22"/>
          <w:szCs w:val="22"/>
        </w:rPr>
        <w:t>Open Pharma</w:t>
      </w:r>
      <w:r w:rsidR="00316971" w:rsidRPr="00153D5A">
        <w:rPr>
          <w:sz w:val="22"/>
          <w:szCs w:val="22"/>
        </w:rPr>
        <w:t xml:space="preserve"> objective</w:t>
      </w:r>
      <w:r w:rsidR="00E53275">
        <w:rPr>
          <w:sz w:val="22"/>
          <w:szCs w:val="22"/>
        </w:rPr>
        <w:t>s</w:t>
      </w:r>
      <w:r w:rsidR="00316971" w:rsidRPr="00153D5A">
        <w:rPr>
          <w:sz w:val="22"/>
          <w:szCs w:val="22"/>
        </w:rPr>
        <w:t>,</w:t>
      </w:r>
      <w:r w:rsidR="00B939FF" w:rsidRPr="00153D5A">
        <w:rPr>
          <w:sz w:val="22"/>
          <w:szCs w:val="22"/>
        </w:rPr>
        <w:t xml:space="preserve"> discussions, materials and events. Participants may ask to join or to be removed from specific activities or the overall list at any point.</w:t>
      </w:r>
      <w:r w:rsidR="00724AB5" w:rsidRPr="00153D5A">
        <w:rPr>
          <w:sz w:val="22"/>
          <w:szCs w:val="22"/>
        </w:rPr>
        <w:t xml:space="preserve"> </w:t>
      </w:r>
      <w:r w:rsidR="00F01C56" w:rsidRPr="00153D5A">
        <w:rPr>
          <w:sz w:val="22"/>
          <w:szCs w:val="22"/>
        </w:rPr>
        <w:t xml:space="preserve">New </w:t>
      </w:r>
      <w:r>
        <w:rPr>
          <w:sz w:val="22"/>
          <w:szCs w:val="22"/>
        </w:rPr>
        <w:t>adviser</w:t>
      </w:r>
      <w:r w:rsidR="00964171" w:rsidRPr="00153D5A">
        <w:rPr>
          <w:sz w:val="22"/>
          <w:szCs w:val="22"/>
        </w:rPr>
        <w:t xml:space="preserve">s </w:t>
      </w:r>
      <w:r w:rsidR="00F01C56" w:rsidRPr="00153D5A">
        <w:rPr>
          <w:sz w:val="22"/>
          <w:szCs w:val="22"/>
        </w:rPr>
        <w:t xml:space="preserve">may be </w:t>
      </w:r>
      <w:r w:rsidR="00964171" w:rsidRPr="00153D5A">
        <w:rPr>
          <w:sz w:val="22"/>
          <w:szCs w:val="22"/>
        </w:rPr>
        <w:t xml:space="preserve">invited to join </w:t>
      </w:r>
      <w:r w:rsidR="00F01C56" w:rsidRPr="00153D5A">
        <w:rPr>
          <w:sz w:val="22"/>
          <w:szCs w:val="22"/>
        </w:rPr>
        <w:t xml:space="preserve">the project by </w:t>
      </w:r>
      <w:r w:rsidR="00964171" w:rsidRPr="00153D5A">
        <w:rPr>
          <w:sz w:val="22"/>
          <w:szCs w:val="22"/>
        </w:rPr>
        <w:t>the secretariat</w:t>
      </w:r>
      <w:r w:rsidR="002209C7">
        <w:rPr>
          <w:sz w:val="22"/>
          <w:szCs w:val="22"/>
        </w:rPr>
        <w:t xml:space="preserve"> or by the Steering Committee</w:t>
      </w:r>
      <w:r w:rsidR="00964171" w:rsidRPr="00153D5A">
        <w:rPr>
          <w:sz w:val="22"/>
          <w:szCs w:val="22"/>
        </w:rPr>
        <w:t xml:space="preserve"> </w:t>
      </w:r>
      <w:r w:rsidR="00F01C56" w:rsidRPr="00153D5A">
        <w:rPr>
          <w:sz w:val="22"/>
          <w:szCs w:val="22"/>
        </w:rPr>
        <w:t>on request or as judged by Oxford PharmaGenesis to be beneficial to the aims of the project.</w:t>
      </w:r>
    </w:p>
    <w:p w14:paraId="0B044570" w14:textId="77777777" w:rsidR="006F253A" w:rsidRPr="00153D5A" w:rsidRDefault="006F253A" w:rsidP="002E253E">
      <w:pPr>
        <w:pStyle w:val="ListParagraph"/>
        <w:numPr>
          <w:ilvl w:val="0"/>
          <w:numId w:val="0"/>
        </w:numPr>
        <w:ind w:left="720"/>
        <w:jc w:val="both"/>
        <w:rPr>
          <w:sz w:val="22"/>
          <w:szCs w:val="22"/>
        </w:rPr>
      </w:pPr>
    </w:p>
    <w:p w14:paraId="3DE89EB2" w14:textId="40CBF056" w:rsidR="00F65AE3" w:rsidRPr="00153D5A" w:rsidRDefault="00F65AE3" w:rsidP="002E253E">
      <w:pPr>
        <w:pStyle w:val="Heading2"/>
        <w:jc w:val="both"/>
        <w:rPr>
          <w:sz w:val="22"/>
          <w:szCs w:val="22"/>
        </w:rPr>
      </w:pPr>
      <w:r w:rsidRPr="00153D5A">
        <w:rPr>
          <w:sz w:val="22"/>
          <w:szCs w:val="22"/>
        </w:rPr>
        <w:t xml:space="preserve">Section </w:t>
      </w:r>
      <w:r w:rsidR="00067686" w:rsidRPr="00153D5A">
        <w:rPr>
          <w:sz w:val="22"/>
          <w:szCs w:val="22"/>
        </w:rPr>
        <w:t>3</w:t>
      </w:r>
      <w:r w:rsidRPr="00153D5A">
        <w:rPr>
          <w:sz w:val="22"/>
          <w:szCs w:val="22"/>
        </w:rPr>
        <w:t xml:space="preserve">. </w:t>
      </w:r>
      <w:r w:rsidR="00E16252" w:rsidRPr="00153D5A">
        <w:rPr>
          <w:sz w:val="22"/>
          <w:szCs w:val="22"/>
        </w:rPr>
        <w:t xml:space="preserve">Members and </w:t>
      </w:r>
      <w:r w:rsidR="005D73A3">
        <w:rPr>
          <w:sz w:val="22"/>
          <w:szCs w:val="22"/>
        </w:rPr>
        <w:t>S</w:t>
      </w:r>
      <w:r w:rsidR="00BA5F96" w:rsidRPr="00153D5A">
        <w:rPr>
          <w:sz w:val="22"/>
          <w:szCs w:val="22"/>
        </w:rPr>
        <w:t>upporters</w:t>
      </w:r>
    </w:p>
    <w:p w14:paraId="78124411" w14:textId="11E1AA69" w:rsidR="00DE1800" w:rsidRDefault="00B939FF" w:rsidP="00E777ED">
      <w:pPr>
        <w:jc w:val="both"/>
        <w:rPr>
          <w:sz w:val="22"/>
          <w:szCs w:val="22"/>
        </w:rPr>
      </w:pPr>
      <w:r w:rsidRPr="00153D5A">
        <w:rPr>
          <w:sz w:val="22"/>
          <w:szCs w:val="22"/>
        </w:rPr>
        <w:t xml:space="preserve">Participants are invited to </w:t>
      </w:r>
      <w:r w:rsidR="00E16252" w:rsidRPr="00153D5A">
        <w:rPr>
          <w:sz w:val="22"/>
          <w:szCs w:val="22"/>
        </w:rPr>
        <w:t xml:space="preserve">contribute funding to </w:t>
      </w:r>
      <w:r w:rsidRPr="00153D5A">
        <w:rPr>
          <w:sz w:val="22"/>
          <w:szCs w:val="22"/>
        </w:rPr>
        <w:t>Open Pharma, in the form of grant request proposals from Oxford PharmaGenesis.</w:t>
      </w:r>
      <w:r w:rsidR="00F60AEB" w:rsidRPr="00153D5A">
        <w:rPr>
          <w:sz w:val="22"/>
          <w:szCs w:val="22"/>
        </w:rPr>
        <w:t xml:space="preserve"> </w:t>
      </w:r>
      <w:r w:rsidR="00F01C56" w:rsidRPr="00153D5A">
        <w:rPr>
          <w:sz w:val="22"/>
          <w:szCs w:val="22"/>
        </w:rPr>
        <w:t>Oxford PharmaGenesis is actively seeking additional financial supporters</w:t>
      </w:r>
      <w:r w:rsidR="004A53E6" w:rsidRPr="00153D5A">
        <w:rPr>
          <w:sz w:val="22"/>
          <w:szCs w:val="22"/>
        </w:rPr>
        <w:t xml:space="preserve"> from the pharma, publishing and funding sectors</w:t>
      </w:r>
      <w:r w:rsidR="00F01C56" w:rsidRPr="00153D5A">
        <w:rPr>
          <w:sz w:val="22"/>
          <w:szCs w:val="22"/>
        </w:rPr>
        <w:t>. Current financial supporters are also encouraged to explore suitable organi</w:t>
      </w:r>
      <w:r w:rsidR="00F749AF" w:rsidRPr="00153D5A">
        <w:rPr>
          <w:sz w:val="22"/>
          <w:szCs w:val="22"/>
        </w:rPr>
        <w:t>z</w:t>
      </w:r>
      <w:r w:rsidR="00F01C56" w:rsidRPr="00153D5A">
        <w:rPr>
          <w:sz w:val="22"/>
          <w:szCs w:val="22"/>
        </w:rPr>
        <w:t>ations</w:t>
      </w:r>
      <w:r w:rsidR="00964171" w:rsidRPr="00153D5A">
        <w:rPr>
          <w:sz w:val="22"/>
          <w:szCs w:val="22"/>
        </w:rPr>
        <w:t xml:space="preserve"> and encourage them to </w:t>
      </w:r>
      <w:r w:rsidR="004820EF" w:rsidRPr="00153D5A">
        <w:rPr>
          <w:sz w:val="22"/>
          <w:szCs w:val="22"/>
        </w:rPr>
        <w:t>support the project</w:t>
      </w:r>
      <w:r w:rsidR="00F01C56" w:rsidRPr="00153D5A">
        <w:rPr>
          <w:sz w:val="22"/>
          <w:szCs w:val="22"/>
        </w:rPr>
        <w:t>. Prospective financial supporters should be proposed to the Steering Committee before they provide funding and become part of the project. Once accepted by the Steering Committee</w:t>
      </w:r>
      <w:r w:rsidR="002414DE" w:rsidRPr="00153D5A">
        <w:rPr>
          <w:sz w:val="22"/>
          <w:szCs w:val="22"/>
        </w:rPr>
        <w:t>,</w:t>
      </w:r>
      <w:r w:rsidR="00F01C56" w:rsidRPr="00153D5A">
        <w:rPr>
          <w:sz w:val="22"/>
          <w:szCs w:val="22"/>
        </w:rPr>
        <w:t xml:space="preserve"> and following commitment of funds, new financial supporters will be invited to join the Steering Committee. Any Steering Committee member may resign at any time upon </w:t>
      </w:r>
      <w:r w:rsidR="00316971" w:rsidRPr="00153D5A">
        <w:rPr>
          <w:sz w:val="22"/>
          <w:szCs w:val="22"/>
        </w:rPr>
        <w:t xml:space="preserve">written </w:t>
      </w:r>
      <w:r w:rsidR="00F01C56" w:rsidRPr="00153D5A">
        <w:rPr>
          <w:sz w:val="22"/>
          <w:szCs w:val="22"/>
        </w:rPr>
        <w:t>notice to the Steering Committee. Funds committed or due will not be refunded.</w:t>
      </w:r>
      <w:r w:rsidR="00E777ED">
        <w:rPr>
          <w:sz w:val="22"/>
          <w:szCs w:val="22"/>
        </w:rPr>
        <w:t xml:space="preserve"> </w:t>
      </w:r>
      <w:r w:rsidR="004820EF" w:rsidRPr="00153D5A">
        <w:rPr>
          <w:sz w:val="22"/>
          <w:szCs w:val="22"/>
        </w:rPr>
        <w:t xml:space="preserve">Financial supporters will be able to contribute to the project </w:t>
      </w:r>
      <w:r w:rsidR="00EB51E4">
        <w:rPr>
          <w:sz w:val="22"/>
          <w:szCs w:val="22"/>
        </w:rPr>
        <w:t>at</w:t>
      </w:r>
      <w:r w:rsidR="00EB51E4" w:rsidRPr="00153D5A">
        <w:rPr>
          <w:sz w:val="22"/>
          <w:szCs w:val="22"/>
        </w:rPr>
        <w:t xml:space="preserve"> </w:t>
      </w:r>
      <w:r w:rsidR="004820EF" w:rsidRPr="00153D5A">
        <w:rPr>
          <w:sz w:val="22"/>
          <w:szCs w:val="22"/>
        </w:rPr>
        <w:t xml:space="preserve">two levels: Members and </w:t>
      </w:r>
      <w:r w:rsidR="00F62DC4" w:rsidRPr="00153D5A">
        <w:rPr>
          <w:sz w:val="22"/>
          <w:szCs w:val="22"/>
        </w:rPr>
        <w:t>Supporters</w:t>
      </w:r>
      <w:r w:rsidR="004820EF" w:rsidRPr="00153D5A">
        <w:rPr>
          <w:sz w:val="22"/>
          <w:szCs w:val="22"/>
        </w:rPr>
        <w:t>.</w:t>
      </w:r>
    </w:p>
    <w:p w14:paraId="317433F4" w14:textId="77777777" w:rsidR="00E777ED" w:rsidRPr="00153D5A" w:rsidRDefault="00E777ED" w:rsidP="002E253E">
      <w:pPr>
        <w:pStyle w:val="ListBullet"/>
        <w:numPr>
          <w:ilvl w:val="0"/>
          <w:numId w:val="0"/>
        </w:numPr>
        <w:jc w:val="both"/>
        <w:rPr>
          <w:sz w:val="22"/>
          <w:szCs w:val="22"/>
        </w:rPr>
      </w:pPr>
    </w:p>
    <w:p w14:paraId="44A6FD4F" w14:textId="7E681837" w:rsidR="0059278E" w:rsidRDefault="00E16252" w:rsidP="00E777ED">
      <w:pPr>
        <w:jc w:val="both"/>
        <w:rPr>
          <w:rFonts w:cstheme="minorHAnsi"/>
          <w:sz w:val="22"/>
          <w:szCs w:val="22"/>
        </w:rPr>
      </w:pPr>
      <w:r w:rsidRPr="00153D5A">
        <w:rPr>
          <w:rFonts w:cstheme="minorHAnsi"/>
          <w:sz w:val="22"/>
          <w:szCs w:val="22"/>
        </w:rPr>
        <w:t xml:space="preserve">Members will provide a contribution of </w:t>
      </w:r>
      <w:r w:rsidR="005D73A3">
        <w:rPr>
          <w:rFonts w:cstheme="minorHAnsi"/>
          <w:sz w:val="22"/>
          <w:szCs w:val="22"/>
        </w:rPr>
        <w:t>GBP</w:t>
      </w:r>
      <w:r w:rsidRPr="00153D5A">
        <w:rPr>
          <w:rFonts w:cstheme="minorHAnsi"/>
          <w:sz w:val="22"/>
          <w:szCs w:val="22"/>
        </w:rPr>
        <w:t>30 000 per annum.</w:t>
      </w:r>
      <w:r w:rsidR="00461902">
        <w:rPr>
          <w:rFonts w:cstheme="minorHAnsi"/>
          <w:sz w:val="22"/>
          <w:szCs w:val="22"/>
        </w:rPr>
        <w:t xml:space="preserve"> This rate</w:t>
      </w:r>
      <w:r w:rsidR="00E777ED">
        <w:rPr>
          <w:rFonts w:cstheme="minorHAnsi"/>
          <w:sz w:val="22"/>
          <w:szCs w:val="22"/>
        </w:rPr>
        <w:t xml:space="preserve">, correct as of 6 September 2019, </w:t>
      </w:r>
      <w:r w:rsidR="00461902">
        <w:rPr>
          <w:rFonts w:cstheme="minorHAnsi"/>
          <w:sz w:val="22"/>
          <w:szCs w:val="22"/>
        </w:rPr>
        <w:t xml:space="preserve">may be </w:t>
      </w:r>
      <w:r w:rsidR="00461902" w:rsidRPr="00DB7383">
        <w:rPr>
          <w:rFonts w:cstheme="minorHAnsi"/>
          <w:sz w:val="22"/>
          <w:szCs w:val="22"/>
        </w:rPr>
        <w:t xml:space="preserve">changed at the </w:t>
      </w:r>
      <w:r w:rsidR="006161C6">
        <w:rPr>
          <w:rFonts w:cstheme="minorHAnsi"/>
          <w:sz w:val="22"/>
          <w:szCs w:val="22"/>
        </w:rPr>
        <w:t xml:space="preserve">discretion </w:t>
      </w:r>
      <w:r w:rsidR="00461902">
        <w:rPr>
          <w:rFonts w:cstheme="minorHAnsi"/>
          <w:sz w:val="22"/>
          <w:szCs w:val="22"/>
        </w:rPr>
        <w:t>of the Steering Committee.</w:t>
      </w:r>
      <w:r w:rsidRPr="00153D5A">
        <w:rPr>
          <w:rFonts w:cstheme="minorHAnsi"/>
          <w:sz w:val="22"/>
          <w:szCs w:val="22"/>
        </w:rPr>
        <w:t xml:space="preserve"> Membership will confer the right to</w:t>
      </w:r>
      <w:r w:rsidR="00461902">
        <w:rPr>
          <w:rFonts w:cstheme="minorHAnsi"/>
          <w:sz w:val="22"/>
          <w:szCs w:val="22"/>
        </w:rPr>
        <w:t xml:space="preserve"> appoint representatives to the Steering Committee and</w:t>
      </w:r>
      <w:r w:rsidRPr="00153D5A">
        <w:rPr>
          <w:rFonts w:cstheme="minorHAnsi"/>
          <w:sz w:val="22"/>
          <w:szCs w:val="22"/>
        </w:rPr>
        <w:t xml:space="preserve"> </w:t>
      </w:r>
      <w:r w:rsidR="00EB51E4">
        <w:rPr>
          <w:rFonts w:cstheme="minorHAnsi"/>
          <w:sz w:val="22"/>
          <w:szCs w:val="22"/>
        </w:rPr>
        <w:t xml:space="preserve">provide </w:t>
      </w:r>
      <w:r w:rsidRPr="00153D5A">
        <w:rPr>
          <w:rFonts w:cstheme="minorHAnsi"/>
          <w:sz w:val="22"/>
          <w:szCs w:val="22"/>
        </w:rPr>
        <w:t xml:space="preserve">input </w:t>
      </w:r>
      <w:r w:rsidRPr="002C73A9">
        <w:rPr>
          <w:rFonts w:cstheme="minorHAnsi"/>
          <w:sz w:val="22"/>
          <w:szCs w:val="22"/>
        </w:rPr>
        <w:t>on</w:t>
      </w:r>
      <w:r w:rsidRPr="00153D5A">
        <w:rPr>
          <w:rFonts w:cstheme="minorHAnsi"/>
          <w:sz w:val="22"/>
          <w:szCs w:val="22"/>
        </w:rPr>
        <w:t xml:space="preserve"> the direction and priorities of Open Pharma for the period of </w:t>
      </w:r>
      <w:r w:rsidR="00EB51E4">
        <w:rPr>
          <w:rFonts w:cstheme="minorHAnsi"/>
          <w:sz w:val="22"/>
          <w:szCs w:val="22"/>
        </w:rPr>
        <w:t>1</w:t>
      </w:r>
      <w:r w:rsidR="00EB51E4" w:rsidRPr="00153D5A">
        <w:rPr>
          <w:rFonts w:cstheme="minorHAnsi"/>
          <w:sz w:val="22"/>
          <w:szCs w:val="22"/>
        </w:rPr>
        <w:t xml:space="preserve"> </w:t>
      </w:r>
      <w:r w:rsidRPr="00153D5A">
        <w:rPr>
          <w:rFonts w:cstheme="minorHAnsi"/>
          <w:sz w:val="22"/>
          <w:szCs w:val="22"/>
        </w:rPr>
        <w:t xml:space="preserve">year. Members will be responsible for making important decisions, </w:t>
      </w:r>
      <w:r w:rsidR="00C1459B">
        <w:rPr>
          <w:rFonts w:cstheme="minorHAnsi"/>
          <w:sz w:val="22"/>
          <w:szCs w:val="22"/>
        </w:rPr>
        <w:t xml:space="preserve">will </w:t>
      </w:r>
      <w:r w:rsidRPr="00153D5A">
        <w:rPr>
          <w:rFonts w:cstheme="minorHAnsi"/>
          <w:sz w:val="22"/>
          <w:szCs w:val="22"/>
        </w:rPr>
        <w:t xml:space="preserve">have the opportunity to work with the Open Pharma team, </w:t>
      </w:r>
      <w:r w:rsidR="00C1459B">
        <w:rPr>
          <w:rFonts w:cstheme="minorHAnsi"/>
          <w:sz w:val="22"/>
          <w:szCs w:val="22"/>
        </w:rPr>
        <w:t xml:space="preserve">will </w:t>
      </w:r>
      <w:r w:rsidR="00997342">
        <w:rPr>
          <w:rFonts w:cstheme="minorHAnsi"/>
          <w:sz w:val="22"/>
          <w:szCs w:val="22"/>
        </w:rPr>
        <w:t xml:space="preserve">be able </w:t>
      </w:r>
      <w:r w:rsidRPr="00153D5A">
        <w:rPr>
          <w:rFonts w:cstheme="minorHAnsi"/>
          <w:sz w:val="22"/>
          <w:szCs w:val="22"/>
        </w:rPr>
        <w:t xml:space="preserve">to co-author research and </w:t>
      </w:r>
      <w:r w:rsidR="00C1459B">
        <w:rPr>
          <w:rFonts w:cstheme="minorHAnsi"/>
          <w:sz w:val="22"/>
          <w:szCs w:val="22"/>
        </w:rPr>
        <w:lastRenderedPageBreak/>
        <w:t xml:space="preserve">will </w:t>
      </w:r>
      <w:r w:rsidRPr="00153D5A">
        <w:rPr>
          <w:rFonts w:cstheme="minorHAnsi"/>
          <w:sz w:val="22"/>
          <w:szCs w:val="22"/>
        </w:rPr>
        <w:t>be guaranteed a seat at the table with non-industry stakeholders for Open Pharma roundtable meetings.</w:t>
      </w:r>
      <w:r w:rsidR="0059278E" w:rsidRPr="00153D5A">
        <w:rPr>
          <w:rFonts w:cstheme="minorHAnsi"/>
          <w:sz w:val="22"/>
          <w:szCs w:val="22"/>
        </w:rPr>
        <w:t xml:space="preserve"> </w:t>
      </w:r>
    </w:p>
    <w:p w14:paraId="06E7B9B5" w14:textId="77777777" w:rsidR="00D4644E" w:rsidRPr="00153D5A" w:rsidRDefault="00D4644E" w:rsidP="00E777ED">
      <w:pPr>
        <w:jc w:val="both"/>
        <w:rPr>
          <w:sz w:val="22"/>
          <w:szCs w:val="22"/>
        </w:rPr>
      </w:pPr>
    </w:p>
    <w:p w14:paraId="4B846BB7" w14:textId="539EC352" w:rsidR="0097268E" w:rsidRPr="00153D5A" w:rsidRDefault="00DE1800" w:rsidP="00E777ED">
      <w:pPr>
        <w:pStyle w:val="ListBullet"/>
        <w:numPr>
          <w:ilvl w:val="0"/>
          <w:numId w:val="0"/>
        </w:numPr>
        <w:jc w:val="both"/>
        <w:rPr>
          <w:sz w:val="22"/>
          <w:szCs w:val="22"/>
        </w:rPr>
      </w:pPr>
      <w:bookmarkStart w:id="0" w:name="_Hlk11407081"/>
      <w:r w:rsidRPr="00153D5A">
        <w:rPr>
          <w:rFonts w:cstheme="minorHAnsi"/>
          <w:sz w:val="22"/>
          <w:szCs w:val="22"/>
        </w:rPr>
        <w:t xml:space="preserve">Supporters will provide a contribution </w:t>
      </w:r>
      <w:r w:rsidR="00743BDC">
        <w:rPr>
          <w:rFonts w:cstheme="minorHAnsi"/>
          <w:sz w:val="22"/>
          <w:szCs w:val="22"/>
        </w:rPr>
        <w:t>to the value of</w:t>
      </w:r>
      <w:r w:rsidRPr="00153D5A">
        <w:rPr>
          <w:rFonts w:cstheme="minorHAnsi"/>
          <w:sz w:val="22"/>
          <w:szCs w:val="22"/>
        </w:rPr>
        <w:t xml:space="preserve"> </w:t>
      </w:r>
      <w:r w:rsidR="00140D33">
        <w:rPr>
          <w:rFonts w:cstheme="minorHAnsi"/>
          <w:sz w:val="22"/>
          <w:szCs w:val="22"/>
        </w:rPr>
        <w:t>GBP</w:t>
      </w:r>
      <w:r w:rsidRPr="00153D5A">
        <w:rPr>
          <w:rFonts w:cstheme="minorHAnsi"/>
          <w:sz w:val="22"/>
          <w:szCs w:val="22"/>
        </w:rPr>
        <w:t>10</w:t>
      </w:r>
      <w:r w:rsidR="00C01AFA" w:rsidRPr="00153D5A">
        <w:rPr>
          <w:rFonts w:cstheme="minorHAnsi"/>
          <w:sz w:val="22"/>
          <w:szCs w:val="22"/>
        </w:rPr>
        <w:t xml:space="preserve"> </w:t>
      </w:r>
      <w:r w:rsidRPr="00153D5A">
        <w:rPr>
          <w:rFonts w:cstheme="minorHAnsi"/>
          <w:sz w:val="22"/>
          <w:szCs w:val="22"/>
        </w:rPr>
        <w:t xml:space="preserve">000 per annum. </w:t>
      </w:r>
      <w:bookmarkEnd w:id="0"/>
      <w:r w:rsidR="00461902">
        <w:rPr>
          <w:rFonts w:cstheme="minorHAnsi"/>
          <w:sz w:val="22"/>
          <w:szCs w:val="22"/>
        </w:rPr>
        <w:t>This rate</w:t>
      </w:r>
      <w:r w:rsidR="00E777ED">
        <w:rPr>
          <w:rFonts w:cstheme="minorHAnsi"/>
          <w:sz w:val="22"/>
          <w:szCs w:val="22"/>
        </w:rPr>
        <w:t>, correct as of 6 September 2019,</w:t>
      </w:r>
      <w:r w:rsidR="00461902">
        <w:rPr>
          <w:rFonts w:cstheme="minorHAnsi"/>
          <w:sz w:val="22"/>
          <w:szCs w:val="22"/>
        </w:rPr>
        <w:t xml:space="preserve"> may be </w:t>
      </w:r>
      <w:r w:rsidR="00461902" w:rsidRPr="00D45A89">
        <w:rPr>
          <w:rFonts w:cstheme="minorHAnsi"/>
          <w:sz w:val="22"/>
          <w:szCs w:val="22"/>
        </w:rPr>
        <w:t xml:space="preserve">changed at the </w:t>
      </w:r>
      <w:r w:rsidR="006161C6">
        <w:rPr>
          <w:rFonts w:cstheme="minorHAnsi"/>
          <w:sz w:val="22"/>
          <w:szCs w:val="22"/>
        </w:rPr>
        <w:t xml:space="preserve">discretion </w:t>
      </w:r>
      <w:r w:rsidR="00461902">
        <w:rPr>
          <w:rFonts w:cstheme="minorHAnsi"/>
          <w:sz w:val="22"/>
          <w:szCs w:val="22"/>
        </w:rPr>
        <w:t>of the Steering Committee.</w:t>
      </w:r>
      <w:r w:rsidR="00461902" w:rsidRPr="00153D5A">
        <w:rPr>
          <w:rFonts w:cstheme="minorHAnsi"/>
          <w:sz w:val="22"/>
          <w:szCs w:val="22"/>
        </w:rPr>
        <w:t xml:space="preserve"> </w:t>
      </w:r>
      <w:r w:rsidRPr="00153D5A">
        <w:rPr>
          <w:rFonts w:cstheme="minorHAnsi"/>
          <w:sz w:val="22"/>
          <w:szCs w:val="22"/>
        </w:rPr>
        <w:t xml:space="preserve">Supporters will be involved in Open Pharma email </w:t>
      </w:r>
      <w:r w:rsidR="00316971" w:rsidRPr="00153D5A">
        <w:rPr>
          <w:rFonts w:cstheme="minorHAnsi"/>
          <w:sz w:val="22"/>
          <w:szCs w:val="22"/>
        </w:rPr>
        <w:t xml:space="preserve">correspondence </w:t>
      </w:r>
      <w:r w:rsidR="00316971" w:rsidRPr="00D45A89">
        <w:rPr>
          <w:rFonts w:cstheme="minorHAnsi"/>
          <w:sz w:val="22"/>
          <w:szCs w:val="22"/>
        </w:rPr>
        <w:t>and</w:t>
      </w:r>
      <w:r w:rsidR="000D5B89">
        <w:rPr>
          <w:rFonts w:cstheme="minorHAnsi"/>
          <w:sz w:val="22"/>
          <w:szCs w:val="22"/>
        </w:rPr>
        <w:t xml:space="preserve"> will be</w:t>
      </w:r>
      <w:r w:rsidRPr="00D45A89">
        <w:rPr>
          <w:rFonts w:cstheme="minorHAnsi"/>
          <w:sz w:val="22"/>
          <w:szCs w:val="22"/>
        </w:rPr>
        <w:t xml:space="preserve"> invited</w:t>
      </w:r>
      <w:r w:rsidRPr="00153D5A">
        <w:rPr>
          <w:rFonts w:cstheme="minorHAnsi"/>
          <w:sz w:val="22"/>
          <w:szCs w:val="22"/>
        </w:rPr>
        <w:t xml:space="preserve"> to provide their insight and suggestions for Open Pharma activities. These insights and suggestions will then be presented to members to inform their decision</w:t>
      </w:r>
      <w:r w:rsidR="00CF4F9D" w:rsidRPr="00153D5A">
        <w:rPr>
          <w:rFonts w:cstheme="minorHAnsi"/>
          <w:sz w:val="22"/>
          <w:szCs w:val="22"/>
        </w:rPr>
        <w:t>-</w:t>
      </w:r>
      <w:r w:rsidRPr="00153D5A">
        <w:rPr>
          <w:rFonts w:cstheme="minorHAnsi"/>
          <w:sz w:val="22"/>
          <w:szCs w:val="22"/>
        </w:rPr>
        <w:t xml:space="preserve">making. Supporters may attend Open Pharma roundtable meetings when places are </w:t>
      </w:r>
      <w:r w:rsidR="00316971" w:rsidRPr="00153D5A">
        <w:rPr>
          <w:rFonts w:cstheme="minorHAnsi"/>
          <w:sz w:val="22"/>
          <w:szCs w:val="22"/>
        </w:rPr>
        <w:t>available and</w:t>
      </w:r>
      <w:r w:rsidRPr="00153D5A">
        <w:rPr>
          <w:rFonts w:cstheme="minorHAnsi"/>
          <w:sz w:val="22"/>
          <w:szCs w:val="22"/>
        </w:rPr>
        <w:t xml:space="preserve"> will be kept updated </w:t>
      </w:r>
      <w:r w:rsidR="00997342">
        <w:rPr>
          <w:rFonts w:cstheme="minorHAnsi"/>
          <w:sz w:val="22"/>
          <w:szCs w:val="22"/>
        </w:rPr>
        <w:t>when</w:t>
      </w:r>
      <w:r w:rsidR="00997342" w:rsidRPr="00153D5A">
        <w:rPr>
          <w:rFonts w:cstheme="minorHAnsi"/>
          <w:sz w:val="22"/>
          <w:szCs w:val="22"/>
        </w:rPr>
        <w:t xml:space="preserve"> </w:t>
      </w:r>
      <w:r w:rsidRPr="00153D5A">
        <w:rPr>
          <w:rFonts w:cstheme="minorHAnsi"/>
          <w:sz w:val="22"/>
          <w:szCs w:val="22"/>
        </w:rPr>
        <w:t xml:space="preserve">any new resources </w:t>
      </w:r>
      <w:r w:rsidR="00997342">
        <w:rPr>
          <w:rFonts w:cstheme="minorHAnsi"/>
          <w:sz w:val="22"/>
          <w:szCs w:val="22"/>
        </w:rPr>
        <w:t xml:space="preserve">are </w:t>
      </w:r>
      <w:r w:rsidRPr="00153D5A">
        <w:rPr>
          <w:rFonts w:cstheme="minorHAnsi"/>
          <w:sz w:val="22"/>
          <w:szCs w:val="22"/>
        </w:rPr>
        <w:t>developed.</w:t>
      </w:r>
      <w:r w:rsidR="0097268E" w:rsidRPr="00153D5A">
        <w:rPr>
          <w:rFonts w:cstheme="minorHAnsi"/>
          <w:sz w:val="22"/>
          <w:szCs w:val="22"/>
        </w:rPr>
        <w:t xml:space="preserve"> </w:t>
      </w:r>
    </w:p>
    <w:p w14:paraId="6C470BF5" w14:textId="77777777" w:rsidR="00DE1800" w:rsidRPr="00153D5A" w:rsidRDefault="00DE1800" w:rsidP="002E253E">
      <w:pPr>
        <w:jc w:val="both"/>
        <w:rPr>
          <w:rFonts w:cstheme="minorHAnsi"/>
          <w:sz w:val="22"/>
          <w:szCs w:val="22"/>
        </w:rPr>
      </w:pPr>
    </w:p>
    <w:p w14:paraId="114484F4" w14:textId="0CB7FDA1" w:rsidR="009E21CF" w:rsidRPr="00153D5A" w:rsidRDefault="009E21CF" w:rsidP="002E253E">
      <w:pPr>
        <w:pStyle w:val="ListBullet"/>
        <w:numPr>
          <w:ilvl w:val="0"/>
          <w:numId w:val="0"/>
        </w:numPr>
        <w:jc w:val="both"/>
        <w:rPr>
          <w:sz w:val="22"/>
          <w:szCs w:val="22"/>
        </w:rPr>
      </w:pPr>
      <w:r w:rsidRPr="00153D5A">
        <w:rPr>
          <w:sz w:val="22"/>
          <w:szCs w:val="22"/>
        </w:rPr>
        <w:t xml:space="preserve">Commitments of financial </w:t>
      </w:r>
      <w:r w:rsidR="00E16252" w:rsidRPr="00153D5A">
        <w:rPr>
          <w:sz w:val="22"/>
          <w:szCs w:val="22"/>
        </w:rPr>
        <w:t xml:space="preserve">contributions </w:t>
      </w:r>
      <w:r w:rsidRPr="00153D5A">
        <w:rPr>
          <w:sz w:val="22"/>
          <w:szCs w:val="22"/>
        </w:rPr>
        <w:t xml:space="preserve">from participants and non-participating funding bodies are measures of perceived value of the project, and if </w:t>
      </w:r>
      <w:r w:rsidR="003A7960" w:rsidRPr="00153D5A">
        <w:rPr>
          <w:sz w:val="22"/>
          <w:szCs w:val="22"/>
        </w:rPr>
        <w:t xml:space="preserve">the </w:t>
      </w:r>
      <w:r w:rsidR="00E16252" w:rsidRPr="00153D5A">
        <w:rPr>
          <w:sz w:val="22"/>
          <w:szCs w:val="22"/>
        </w:rPr>
        <w:t xml:space="preserve">budget </w:t>
      </w:r>
      <w:r w:rsidR="003A7960" w:rsidRPr="00153D5A">
        <w:rPr>
          <w:sz w:val="22"/>
          <w:szCs w:val="22"/>
        </w:rPr>
        <w:t xml:space="preserve">obtained is </w:t>
      </w:r>
      <w:r w:rsidR="0011634B">
        <w:rPr>
          <w:sz w:val="22"/>
          <w:szCs w:val="22"/>
        </w:rPr>
        <w:t>lower</w:t>
      </w:r>
      <w:r w:rsidR="003A7960" w:rsidRPr="00153D5A">
        <w:rPr>
          <w:sz w:val="22"/>
          <w:szCs w:val="22"/>
        </w:rPr>
        <w:t xml:space="preserve"> than the amount required to complete the proposed projects</w:t>
      </w:r>
      <w:r w:rsidRPr="00153D5A">
        <w:rPr>
          <w:sz w:val="22"/>
          <w:szCs w:val="22"/>
        </w:rPr>
        <w:t xml:space="preserve">, Oxford PharmaGenesis </w:t>
      </w:r>
      <w:r w:rsidR="00B079A7" w:rsidRPr="00153D5A">
        <w:rPr>
          <w:sz w:val="22"/>
          <w:szCs w:val="22"/>
        </w:rPr>
        <w:t>acting</w:t>
      </w:r>
      <w:r w:rsidR="00316971" w:rsidRPr="00153D5A">
        <w:rPr>
          <w:sz w:val="22"/>
          <w:szCs w:val="22"/>
        </w:rPr>
        <w:t xml:space="preserve"> </w:t>
      </w:r>
      <w:r w:rsidRPr="00153D5A">
        <w:rPr>
          <w:sz w:val="22"/>
          <w:szCs w:val="22"/>
        </w:rPr>
        <w:t>in consultation with the Steering Committee</w:t>
      </w:r>
      <w:r w:rsidR="00B079A7" w:rsidRPr="00153D5A">
        <w:rPr>
          <w:sz w:val="22"/>
          <w:szCs w:val="22"/>
        </w:rPr>
        <w:t xml:space="preserve"> reserves the right to </w:t>
      </w:r>
      <w:r w:rsidRPr="00153D5A">
        <w:rPr>
          <w:sz w:val="22"/>
          <w:szCs w:val="22"/>
        </w:rPr>
        <w:t>either adjust the remit of the project or bring it to a close.</w:t>
      </w:r>
    </w:p>
    <w:p w14:paraId="0CAD4C93" w14:textId="77777777" w:rsidR="000B347D" w:rsidRPr="00153D5A" w:rsidRDefault="000B347D" w:rsidP="002E253E">
      <w:pPr>
        <w:pStyle w:val="ListBullet"/>
        <w:numPr>
          <w:ilvl w:val="0"/>
          <w:numId w:val="0"/>
        </w:numPr>
        <w:jc w:val="both"/>
        <w:rPr>
          <w:sz w:val="22"/>
          <w:szCs w:val="22"/>
        </w:rPr>
      </w:pPr>
    </w:p>
    <w:p w14:paraId="6F5F6543" w14:textId="0989BEFE" w:rsidR="000B347D" w:rsidRPr="00536547" w:rsidRDefault="000B347D" w:rsidP="002E253E">
      <w:pPr>
        <w:pStyle w:val="Heading2"/>
        <w:jc w:val="both"/>
        <w:rPr>
          <w:sz w:val="22"/>
          <w:szCs w:val="22"/>
        </w:rPr>
      </w:pPr>
      <w:r w:rsidRPr="00536547">
        <w:rPr>
          <w:sz w:val="22"/>
          <w:szCs w:val="22"/>
        </w:rPr>
        <w:t xml:space="preserve">Section </w:t>
      </w:r>
      <w:r w:rsidR="00067686" w:rsidRPr="00536547">
        <w:rPr>
          <w:sz w:val="22"/>
          <w:szCs w:val="22"/>
        </w:rPr>
        <w:t>4</w:t>
      </w:r>
      <w:r w:rsidRPr="00536547">
        <w:rPr>
          <w:sz w:val="22"/>
          <w:szCs w:val="22"/>
        </w:rPr>
        <w:t xml:space="preserve">. </w:t>
      </w:r>
      <w:r w:rsidR="003A7960" w:rsidRPr="00536547">
        <w:rPr>
          <w:sz w:val="22"/>
          <w:szCs w:val="22"/>
        </w:rPr>
        <w:t>F</w:t>
      </w:r>
      <w:r w:rsidRPr="00536547">
        <w:rPr>
          <w:sz w:val="22"/>
          <w:szCs w:val="22"/>
        </w:rPr>
        <w:t>unding</w:t>
      </w:r>
      <w:r w:rsidR="00E16252" w:rsidRPr="00536547">
        <w:rPr>
          <w:sz w:val="22"/>
          <w:szCs w:val="22"/>
        </w:rPr>
        <w:t xml:space="preserve"> administration</w:t>
      </w:r>
    </w:p>
    <w:p w14:paraId="39BCAE95" w14:textId="0470BDEA" w:rsidR="002D21DD" w:rsidRPr="00536547" w:rsidRDefault="002D21DD" w:rsidP="002E253E">
      <w:pPr>
        <w:pStyle w:val="ListBullet"/>
        <w:numPr>
          <w:ilvl w:val="0"/>
          <w:numId w:val="0"/>
        </w:numPr>
        <w:jc w:val="both"/>
        <w:rPr>
          <w:sz w:val="22"/>
          <w:szCs w:val="22"/>
        </w:rPr>
      </w:pPr>
      <w:r w:rsidRPr="00536547">
        <w:rPr>
          <w:sz w:val="22"/>
          <w:szCs w:val="22"/>
        </w:rPr>
        <w:t xml:space="preserve">Funds are sought by proposal, outlining specific activities and budgets expected for the whole Open Pharma project in a specific funding cycle time, and asking each supporter to </w:t>
      </w:r>
      <w:r w:rsidR="00AC1F3C">
        <w:rPr>
          <w:sz w:val="22"/>
          <w:szCs w:val="22"/>
        </w:rPr>
        <w:t>pay</w:t>
      </w:r>
      <w:r w:rsidR="00AC1F3C" w:rsidRPr="00536547">
        <w:rPr>
          <w:sz w:val="22"/>
          <w:szCs w:val="22"/>
        </w:rPr>
        <w:t xml:space="preserve"> </w:t>
      </w:r>
      <w:r w:rsidRPr="00536547">
        <w:rPr>
          <w:sz w:val="22"/>
          <w:szCs w:val="22"/>
        </w:rPr>
        <w:t xml:space="preserve">a proportion of the total. To date, </w:t>
      </w:r>
      <w:r w:rsidRPr="000517A7">
        <w:rPr>
          <w:sz w:val="22"/>
          <w:szCs w:val="22"/>
        </w:rPr>
        <w:t>funding cycles have been by calendar year</w:t>
      </w:r>
      <w:r w:rsidRPr="00536547">
        <w:rPr>
          <w:sz w:val="22"/>
          <w:szCs w:val="22"/>
        </w:rPr>
        <w:t>. Oxford PharmaGenesis will report to the Steering Committee and to individual financial supporters</w:t>
      </w:r>
      <w:r w:rsidR="009E21CF" w:rsidRPr="00536547">
        <w:rPr>
          <w:sz w:val="22"/>
          <w:szCs w:val="22"/>
        </w:rPr>
        <w:t xml:space="preserve"> on funds obtained and used</w:t>
      </w:r>
      <w:r w:rsidRPr="00536547">
        <w:rPr>
          <w:sz w:val="22"/>
          <w:szCs w:val="22"/>
        </w:rPr>
        <w:t xml:space="preserve">, either at the end of Open Pharma funding cycles or at the request of the financial supporter. </w:t>
      </w:r>
    </w:p>
    <w:p w14:paraId="16824BB2" w14:textId="77777777" w:rsidR="00601E38" w:rsidRPr="00536547" w:rsidRDefault="00601E38" w:rsidP="002E253E">
      <w:pPr>
        <w:pStyle w:val="ListBullet"/>
        <w:numPr>
          <w:ilvl w:val="0"/>
          <w:numId w:val="0"/>
        </w:numPr>
        <w:jc w:val="both"/>
        <w:rPr>
          <w:sz w:val="22"/>
          <w:szCs w:val="22"/>
        </w:rPr>
      </w:pPr>
    </w:p>
    <w:p w14:paraId="1F9E9CAB" w14:textId="16136E79" w:rsidR="00B939FF" w:rsidRPr="00153D5A" w:rsidRDefault="000B347D" w:rsidP="002E253E">
      <w:pPr>
        <w:pStyle w:val="ListBullet"/>
        <w:numPr>
          <w:ilvl w:val="0"/>
          <w:numId w:val="0"/>
        </w:numPr>
        <w:jc w:val="both"/>
        <w:rPr>
          <w:sz w:val="22"/>
          <w:szCs w:val="22"/>
        </w:rPr>
      </w:pPr>
      <w:r w:rsidRPr="00536547">
        <w:rPr>
          <w:sz w:val="22"/>
          <w:szCs w:val="22"/>
        </w:rPr>
        <w:t xml:space="preserve">Funding can be provided as fee-for-service, direct grant, unrestricted educational grant or </w:t>
      </w:r>
      <w:r w:rsidR="003A7960" w:rsidRPr="00536547">
        <w:rPr>
          <w:sz w:val="22"/>
          <w:szCs w:val="22"/>
        </w:rPr>
        <w:t xml:space="preserve">collaboration and </w:t>
      </w:r>
      <w:r w:rsidR="00DE1800" w:rsidRPr="00536547">
        <w:rPr>
          <w:sz w:val="22"/>
          <w:szCs w:val="22"/>
        </w:rPr>
        <w:t xml:space="preserve">any </w:t>
      </w:r>
      <w:r w:rsidRPr="00536547">
        <w:rPr>
          <w:sz w:val="22"/>
          <w:szCs w:val="22"/>
        </w:rPr>
        <w:t>othe</w:t>
      </w:r>
      <w:r w:rsidR="00DE1800" w:rsidRPr="00536547">
        <w:rPr>
          <w:sz w:val="22"/>
          <w:szCs w:val="22"/>
        </w:rPr>
        <w:t>r</w:t>
      </w:r>
      <w:r w:rsidR="00B21604" w:rsidRPr="00536547">
        <w:rPr>
          <w:sz w:val="22"/>
          <w:szCs w:val="22"/>
        </w:rPr>
        <w:t xml:space="preserve"> </w:t>
      </w:r>
      <w:r w:rsidRPr="00536547">
        <w:rPr>
          <w:sz w:val="22"/>
          <w:szCs w:val="22"/>
        </w:rPr>
        <w:t>mechanisms</w:t>
      </w:r>
      <w:r w:rsidR="00DE1800" w:rsidRPr="00536547">
        <w:rPr>
          <w:sz w:val="22"/>
          <w:szCs w:val="22"/>
        </w:rPr>
        <w:t xml:space="preserve"> prospective supporters or members see fit</w:t>
      </w:r>
      <w:r w:rsidRPr="00536547">
        <w:rPr>
          <w:sz w:val="22"/>
          <w:szCs w:val="22"/>
        </w:rPr>
        <w:t>.</w:t>
      </w:r>
      <w:r w:rsidR="00B939FF" w:rsidRPr="00536547">
        <w:rPr>
          <w:sz w:val="22"/>
          <w:szCs w:val="22"/>
        </w:rPr>
        <w:t xml:space="preserve"> </w:t>
      </w:r>
      <w:r w:rsidR="00DE1800" w:rsidRPr="00536547">
        <w:rPr>
          <w:sz w:val="22"/>
          <w:szCs w:val="22"/>
        </w:rPr>
        <w:t>Members</w:t>
      </w:r>
      <w:r w:rsidRPr="00536547">
        <w:rPr>
          <w:sz w:val="22"/>
          <w:szCs w:val="22"/>
        </w:rPr>
        <w:t xml:space="preserve"> are encouraged to </w:t>
      </w:r>
      <w:r w:rsidR="007C293E" w:rsidRPr="00536547">
        <w:rPr>
          <w:sz w:val="22"/>
          <w:szCs w:val="22"/>
        </w:rPr>
        <w:t xml:space="preserve">elect a representative to serve on the </w:t>
      </w:r>
      <w:r w:rsidRPr="00536547">
        <w:rPr>
          <w:sz w:val="22"/>
          <w:szCs w:val="22"/>
        </w:rPr>
        <w:t xml:space="preserve">Steering Committee but </w:t>
      </w:r>
      <w:r w:rsidR="007C293E" w:rsidRPr="00536547">
        <w:rPr>
          <w:sz w:val="22"/>
          <w:szCs w:val="22"/>
        </w:rPr>
        <w:t>are not mandated</w:t>
      </w:r>
      <w:r w:rsidRPr="00536547">
        <w:rPr>
          <w:sz w:val="22"/>
          <w:szCs w:val="22"/>
        </w:rPr>
        <w:t xml:space="preserve"> to </w:t>
      </w:r>
      <w:r w:rsidR="003A7960" w:rsidRPr="00536547">
        <w:rPr>
          <w:sz w:val="22"/>
          <w:szCs w:val="22"/>
        </w:rPr>
        <w:t>do so</w:t>
      </w:r>
      <w:r w:rsidR="00DE1800" w:rsidRPr="00536547">
        <w:rPr>
          <w:sz w:val="22"/>
          <w:szCs w:val="22"/>
        </w:rPr>
        <w:t>.</w:t>
      </w:r>
    </w:p>
    <w:p w14:paraId="22ED1E05" w14:textId="77777777" w:rsidR="00601E38" w:rsidRPr="00153D5A" w:rsidRDefault="00601E38" w:rsidP="002E253E">
      <w:pPr>
        <w:pStyle w:val="ListBullet"/>
        <w:numPr>
          <w:ilvl w:val="0"/>
          <w:numId w:val="0"/>
        </w:numPr>
        <w:jc w:val="both"/>
        <w:rPr>
          <w:sz w:val="22"/>
          <w:szCs w:val="22"/>
        </w:rPr>
      </w:pPr>
    </w:p>
    <w:p w14:paraId="7DA56DBE" w14:textId="22533805" w:rsidR="00F01C56" w:rsidRDefault="00F01C56" w:rsidP="002E253E">
      <w:pPr>
        <w:pStyle w:val="ListBullet"/>
        <w:numPr>
          <w:ilvl w:val="0"/>
          <w:numId w:val="0"/>
        </w:numPr>
        <w:jc w:val="both"/>
        <w:rPr>
          <w:sz w:val="22"/>
          <w:szCs w:val="22"/>
        </w:rPr>
      </w:pPr>
      <w:r w:rsidRPr="00153D5A">
        <w:rPr>
          <w:sz w:val="22"/>
          <w:szCs w:val="22"/>
        </w:rPr>
        <w:t>By default, funding is pooled into one budget pot, covering research activities, publications and ed</w:t>
      </w:r>
      <w:r w:rsidR="00A4340F" w:rsidRPr="00153D5A">
        <w:rPr>
          <w:sz w:val="22"/>
          <w:szCs w:val="22"/>
        </w:rPr>
        <w:t>ucational activities agreed by the Steering Committee</w:t>
      </w:r>
      <w:r w:rsidRPr="00153D5A">
        <w:rPr>
          <w:sz w:val="22"/>
          <w:szCs w:val="22"/>
        </w:rPr>
        <w:t>. Oxford PharmaGenesis will remain free to vary the degree of non-funded support that it provides to Open Pharma.</w:t>
      </w:r>
      <w:r w:rsidR="00A4340F" w:rsidRPr="00153D5A">
        <w:rPr>
          <w:sz w:val="22"/>
          <w:szCs w:val="22"/>
        </w:rPr>
        <w:t xml:space="preserve"> Whe</w:t>
      </w:r>
      <w:r w:rsidR="00D45A89">
        <w:rPr>
          <w:sz w:val="22"/>
          <w:szCs w:val="22"/>
        </w:rPr>
        <w:t xml:space="preserve">n </w:t>
      </w:r>
      <w:r w:rsidR="00AC1F3C">
        <w:rPr>
          <w:sz w:val="22"/>
          <w:szCs w:val="22"/>
        </w:rPr>
        <w:t>M</w:t>
      </w:r>
      <w:r w:rsidR="00CB025E">
        <w:rPr>
          <w:sz w:val="22"/>
          <w:szCs w:val="22"/>
        </w:rPr>
        <w:t xml:space="preserve">embers and </w:t>
      </w:r>
      <w:r w:rsidR="00AC1F3C">
        <w:rPr>
          <w:sz w:val="22"/>
          <w:szCs w:val="22"/>
        </w:rPr>
        <w:t>S</w:t>
      </w:r>
      <w:r w:rsidR="00CB025E">
        <w:rPr>
          <w:sz w:val="22"/>
          <w:szCs w:val="22"/>
        </w:rPr>
        <w:t xml:space="preserve">upporters </w:t>
      </w:r>
      <w:r w:rsidR="00D45A89">
        <w:rPr>
          <w:sz w:val="22"/>
          <w:szCs w:val="22"/>
        </w:rPr>
        <w:t>propose</w:t>
      </w:r>
      <w:r w:rsidR="00A4340F" w:rsidRPr="00153D5A">
        <w:rPr>
          <w:sz w:val="22"/>
          <w:szCs w:val="22"/>
        </w:rPr>
        <w:t xml:space="preserve"> additional activities that fall outside the agreed activities in a budget period, or</w:t>
      </w:r>
      <w:r w:rsidR="00D45A89">
        <w:rPr>
          <w:sz w:val="22"/>
          <w:szCs w:val="22"/>
        </w:rPr>
        <w:t xml:space="preserve"> when</w:t>
      </w:r>
      <w:r w:rsidR="00A4340F" w:rsidRPr="00153D5A">
        <w:rPr>
          <w:sz w:val="22"/>
          <w:szCs w:val="22"/>
        </w:rPr>
        <w:t xml:space="preserve"> agreed activities are no longer suitable, Oxford PharmaGenesis may change </w:t>
      </w:r>
      <w:r w:rsidR="00DC054E" w:rsidRPr="00153D5A">
        <w:rPr>
          <w:sz w:val="22"/>
          <w:szCs w:val="22"/>
        </w:rPr>
        <w:t>planned activities</w:t>
      </w:r>
      <w:r w:rsidR="00A4340F" w:rsidRPr="00153D5A">
        <w:rPr>
          <w:sz w:val="22"/>
          <w:szCs w:val="22"/>
        </w:rPr>
        <w:t xml:space="preserve">, in consultation with the Steering Committee and </w:t>
      </w:r>
      <w:r w:rsidR="00DE1800" w:rsidRPr="00153D5A">
        <w:rPr>
          <w:sz w:val="22"/>
          <w:szCs w:val="22"/>
        </w:rPr>
        <w:t>C</w:t>
      </w:r>
      <w:r w:rsidR="00A4340F" w:rsidRPr="00153D5A">
        <w:rPr>
          <w:sz w:val="22"/>
          <w:szCs w:val="22"/>
        </w:rPr>
        <w:t>hair. Participants and financial supporters retain the right to contract with Oxford PharmaGenesis for support with work on Open Pharma topics with a specific focus on their company</w:t>
      </w:r>
      <w:r w:rsidR="00DC054E" w:rsidRPr="00153D5A">
        <w:rPr>
          <w:sz w:val="22"/>
          <w:szCs w:val="22"/>
        </w:rPr>
        <w:t>. These activities would be handled</w:t>
      </w:r>
      <w:r w:rsidR="00A4340F" w:rsidRPr="00153D5A">
        <w:rPr>
          <w:sz w:val="22"/>
          <w:szCs w:val="22"/>
        </w:rPr>
        <w:t xml:space="preserve"> separately from the Open Pharma project but </w:t>
      </w:r>
      <w:r w:rsidR="00DC054E" w:rsidRPr="00153D5A">
        <w:rPr>
          <w:sz w:val="22"/>
          <w:szCs w:val="22"/>
        </w:rPr>
        <w:t>may involve</w:t>
      </w:r>
      <w:r w:rsidR="00A4340F" w:rsidRPr="00153D5A">
        <w:rPr>
          <w:sz w:val="22"/>
          <w:szCs w:val="22"/>
        </w:rPr>
        <w:t xml:space="preserve"> members of the Open Pharma team at Oxford PharmaGenesis.</w:t>
      </w:r>
      <w:r w:rsidR="00DE1800" w:rsidRPr="00153D5A">
        <w:rPr>
          <w:sz w:val="22"/>
          <w:szCs w:val="22"/>
        </w:rPr>
        <w:t xml:space="preserve"> </w:t>
      </w:r>
      <w:r w:rsidR="0014244E" w:rsidRPr="00153D5A">
        <w:rPr>
          <w:sz w:val="22"/>
          <w:szCs w:val="22"/>
        </w:rPr>
        <w:t>Non-commercial</w:t>
      </w:r>
      <w:r w:rsidR="00DE1800" w:rsidRPr="00153D5A">
        <w:rPr>
          <w:sz w:val="22"/>
          <w:szCs w:val="22"/>
        </w:rPr>
        <w:t xml:space="preserve"> organizations willing to offer support</w:t>
      </w:r>
      <w:r w:rsidR="007C5ECF" w:rsidRPr="00153D5A">
        <w:rPr>
          <w:sz w:val="22"/>
          <w:szCs w:val="22"/>
        </w:rPr>
        <w:t xml:space="preserve"> to</w:t>
      </w:r>
      <w:r w:rsidR="00DE1800" w:rsidRPr="00153D5A">
        <w:rPr>
          <w:sz w:val="22"/>
          <w:szCs w:val="22"/>
        </w:rPr>
        <w:t xml:space="preserve"> the project may negotiate support in kind on an ad hoc basis. </w:t>
      </w:r>
    </w:p>
    <w:p w14:paraId="745DBC5E" w14:textId="77777777" w:rsidR="00730DAB" w:rsidRPr="00153D5A" w:rsidRDefault="00730DAB" w:rsidP="002E253E">
      <w:pPr>
        <w:pStyle w:val="ListBullet"/>
        <w:numPr>
          <w:ilvl w:val="0"/>
          <w:numId w:val="0"/>
        </w:numPr>
        <w:jc w:val="both"/>
        <w:rPr>
          <w:sz w:val="22"/>
          <w:szCs w:val="22"/>
        </w:rPr>
      </w:pPr>
    </w:p>
    <w:p w14:paraId="393E721B" w14:textId="6D98DA6D" w:rsidR="00983463" w:rsidRPr="00153D5A" w:rsidRDefault="00983463" w:rsidP="002E253E">
      <w:pPr>
        <w:pStyle w:val="Heading2"/>
        <w:jc w:val="both"/>
        <w:rPr>
          <w:sz w:val="22"/>
          <w:szCs w:val="22"/>
        </w:rPr>
      </w:pPr>
      <w:r w:rsidRPr="00153D5A">
        <w:rPr>
          <w:sz w:val="22"/>
          <w:szCs w:val="22"/>
        </w:rPr>
        <w:t xml:space="preserve">Section </w:t>
      </w:r>
      <w:r w:rsidR="00067686" w:rsidRPr="00153D5A">
        <w:rPr>
          <w:sz w:val="22"/>
          <w:szCs w:val="22"/>
        </w:rPr>
        <w:t>5</w:t>
      </w:r>
      <w:r w:rsidRPr="00153D5A">
        <w:rPr>
          <w:sz w:val="22"/>
          <w:szCs w:val="22"/>
        </w:rPr>
        <w:t>. Proxies</w:t>
      </w:r>
    </w:p>
    <w:p w14:paraId="2BAC5079" w14:textId="06041507" w:rsidR="00983463" w:rsidRPr="00153D5A" w:rsidRDefault="00C2117E" w:rsidP="002E253E">
      <w:pPr>
        <w:pStyle w:val="ListBullet"/>
        <w:numPr>
          <w:ilvl w:val="0"/>
          <w:numId w:val="0"/>
        </w:numPr>
        <w:jc w:val="both"/>
        <w:rPr>
          <w:sz w:val="22"/>
          <w:szCs w:val="22"/>
        </w:rPr>
      </w:pPr>
      <w:r w:rsidRPr="00153D5A">
        <w:rPr>
          <w:sz w:val="22"/>
          <w:szCs w:val="22"/>
        </w:rPr>
        <w:t xml:space="preserve">Participants are welcome to include </w:t>
      </w:r>
      <w:r w:rsidR="000B5287" w:rsidRPr="00153D5A">
        <w:rPr>
          <w:sz w:val="22"/>
          <w:szCs w:val="22"/>
        </w:rPr>
        <w:t xml:space="preserve">additional </w:t>
      </w:r>
      <w:r w:rsidR="00E16252" w:rsidRPr="00153D5A">
        <w:rPr>
          <w:sz w:val="22"/>
          <w:szCs w:val="22"/>
        </w:rPr>
        <w:t xml:space="preserve">people from </w:t>
      </w:r>
      <w:r w:rsidRPr="00153D5A">
        <w:rPr>
          <w:sz w:val="22"/>
          <w:szCs w:val="22"/>
        </w:rPr>
        <w:t>their team in Open Pharma.</w:t>
      </w:r>
      <w:r w:rsidR="000B5287" w:rsidRPr="00153D5A">
        <w:rPr>
          <w:sz w:val="22"/>
          <w:szCs w:val="22"/>
        </w:rPr>
        <w:t xml:space="preserve"> </w:t>
      </w:r>
      <w:r w:rsidRPr="00153D5A">
        <w:rPr>
          <w:sz w:val="22"/>
          <w:szCs w:val="22"/>
        </w:rPr>
        <w:t xml:space="preserve">For meetings or conversations </w:t>
      </w:r>
      <w:r w:rsidR="00CB025E">
        <w:rPr>
          <w:sz w:val="22"/>
          <w:szCs w:val="22"/>
        </w:rPr>
        <w:t>during which</w:t>
      </w:r>
      <w:r w:rsidR="00CB025E" w:rsidRPr="00153D5A">
        <w:rPr>
          <w:sz w:val="22"/>
          <w:szCs w:val="22"/>
        </w:rPr>
        <w:t xml:space="preserve"> </w:t>
      </w:r>
      <w:r w:rsidRPr="00153D5A">
        <w:rPr>
          <w:sz w:val="22"/>
          <w:szCs w:val="22"/>
        </w:rPr>
        <w:t>decisions are being made on future activities, such as at a Steering Committee meeting,</w:t>
      </w:r>
      <w:r w:rsidR="003771BC" w:rsidRPr="00153D5A">
        <w:rPr>
          <w:sz w:val="22"/>
          <w:szCs w:val="22"/>
        </w:rPr>
        <w:t xml:space="preserve"> ideally</w:t>
      </w:r>
      <w:r w:rsidR="00CB025E">
        <w:rPr>
          <w:sz w:val="22"/>
          <w:szCs w:val="22"/>
        </w:rPr>
        <w:t>,</w:t>
      </w:r>
      <w:r w:rsidR="003771BC" w:rsidRPr="00153D5A">
        <w:rPr>
          <w:sz w:val="22"/>
          <w:szCs w:val="22"/>
        </w:rPr>
        <w:t xml:space="preserve"> each member company would have one representative. P</w:t>
      </w:r>
      <w:r w:rsidRPr="00153D5A">
        <w:rPr>
          <w:sz w:val="22"/>
          <w:szCs w:val="22"/>
        </w:rPr>
        <w:t xml:space="preserve">articipants who are unable to attend are encouraged to explicitly identify the degree to which a proxy can speak on their behalf. This is especially the case for </w:t>
      </w:r>
      <w:r w:rsidR="00C7436E" w:rsidRPr="00153D5A">
        <w:rPr>
          <w:sz w:val="22"/>
          <w:szCs w:val="22"/>
        </w:rPr>
        <w:t>M</w:t>
      </w:r>
      <w:r w:rsidR="002A7E88" w:rsidRPr="00153D5A">
        <w:rPr>
          <w:sz w:val="22"/>
          <w:szCs w:val="22"/>
        </w:rPr>
        <w:t>embers</w:t>
      </w:r>
      <w:r w:rsidR="00983463" w:rsidRPr="00153D5A">
        <w:rPr>
          <w:sz w:val="22"/>
          <w:szCs w:val="22"/>
        </w:rPr>
        <w:t xml:space="preserve">. </w:t>
      </w:r>
      <w:r w:rsidRPr="00153D5A">
        <w:rPr>
          <w:sz w:val="22"/>
          <w:szCs w:val="22"/>
        </w:rPr>
        <w:t xml:space="preserve">For meetings </w:t>
      </w:r>
      <w:r w:rsidR="00CB025E">
        <w:rPr>
          <w:sz w:val="22"/>
          <w:szCs w:val="22"/>
        </w:rPr>
        <w:t>at which</w:t>
      </w:r>
      <w:r w:rsidRPr="00153D5A">
        <w:rPr>
          <w:sz w:val="22"/>
          <w:szCs w:val="22"/>
        </w:rPr>
        <w:t xml:space="preserve"> space is limited, organi</w:t>
      </w:r>
      <w:r w:rsidR="00121880" w:rsidRPr="00153D5A">
        <w:rPr>
          <w:sz w:val="22"/>
          <w:szCs w:val="22"/>
        </w:rPr>
        <w:t>z</w:t>
      </w:r>
      <w:r w:rsidRPr="00153D5A">
        <w:rPr>
          <w:sz w:val="22"/>
          <w:szCs w:val="22"/>
        </w:rPr>
        <w:t>ations may be asked to send only</w:t>
      </w:r>
      <w:r w:rsidR="00E777ED">
        <w:rPr>
          <w:sz w:val="22"/>
          <w:szCs w:val="22"/>
        </w:rPr>
        <w:t xml:space="preserve"> </w:t>
      </w:r>
      <w:r w:rsidRPr="00153D5A">
        <w:rPr>
          <w:sz w:val="22"/>
          <w:szCs w:val="22"/>
        </w:rPr>
        <w:t>one participant.</w:t>
      </w:r>
      <w:r w:rsidR="003A7960" w:rsidRPr="00153D5A">
        <w:rPr>
          <w:sz w:val="22"/>
          <w:szCs w:val="22"/>
        </w:rPr>
        <w:t xml:space="preserve"> </w:t>
      </w:r>
    </w:p>
    <w:p w14:paraId="0C98038F" w14:textId="77777777" w:rsidR="00983463" w:rsidRPr="00153D5A" w:rsidRDefault="00983463" w:rsidP="002E253E">
      <w:pPr>
        <w:pStyle w:val="ListBullet"/>
        <w:numPr>
          <w:ilvl w:val="0"/>
          <w:numId w:val="0"/>
        </w:numPr>
        <w:jc w:val="both"/>
        <w:rPr>
          <w:sz w:val="22"/>
          <w:szCs w:val="22"/>
        </w:rPr>
      </w:pPr>
    </w:p>
    <w:p w14:paraId="3ECD3102" w14:textId="65A76477" w:rsidR="0020464D" w:rsidRPr="00153D5A" w:rsidRDefault="00983463" w:rsidP="002E253E">
      <w:pPr>
        <w:pStyle w:val="Heading2"/>
        <w:jc w:val="both"/>
        <w:rPr>
          <w:sz w:val="22"/>
          <w:szCs w:val="22"/>
        </w:rPr>
      </w:pPr>
      <w:r w:rsidRPr="00153D5A">
        <w:rPr>
          <w:sz w:val="22"/>
          <w:szCs w:val="22"/>
        </w:rPr>
        <w:t xml:space="preserve">Section </w:t>
      </w:r>
      <w:r w:rsidR="00067686" w:rsidRPr="00153D5A">
        <w:rPr>
          <w:sz w:val="22"/>
          <w:szCs w:val="22"/>
        </w:rPr>
        <w:t>6</w:t>
      </w:r>
      <w:r w:rsidRPr="00153D5A">
        <w:rPr>
          <w:sz w:val="22"/>
          <w:szCs w:val="22"/>
        </w:rPr>
        <w:t xml:space="preserve">. Termination </w:t>
      </w:r>
    </w:p>
    <w:p w14:paraId="60DDEC12" w14:textId="1136FA99" w:rsidR="0020464D" w:rsidRPr="00153D5A" w:rsidRDefault="00983463" w:rsidP="002E253E">
      <w:pPr>
        <w:jc w:val="both"/>
        <w:rPr>
          <w:sz w:val="22"/>
          <w:szCs w:val="22"/>
        </w:rPr>
      </w:pPr>
      <w:r w:rsidRPr="00153D5A">
        <w:rPr>
          <w:sz w:val="22"/>
          <w:szCs w:val="22"/>
        </w:rPr>
        <w:t xml:space="preserve">Any </w:t>
      </w:r>
      <w:r w:rsidR="00C2117E" w:rsidRPr="00153D5A">
        <w:rPr>
          <w:sz w:val="22"/>
          <w:szCs w:val="22"/>
        </w:rPr>
        <w:t xml:space="preserve">participant </w:t>
      </w:r>
      <w:r w:rsidRPr="00153D5A">
        <w:rPr>
          <w:sz w:val="22"/>
          <w:szCs w:val="22"/>
        </w:rPr>
        <w:t>may withdraw</w:t>
      </w:r>
      <w:r w:rsidR="00C2117E" w:rsidRPr="00153D5A">
        <w:rPr>
          <w:sz w:val="22"/>
          <w:szCs w:val="22"/>
        </w:rPr>
        <w:t xml:space="preserve"> from </w:t>
      </w:r>
      <w:r w:rsidR="0020464D" w:rsidRPr="00153D5A">
        <w:rPr>
          <w:sz w:val="22"/>
          <w:szCs w:val="22"/>
        </w:rPr>
        <w:t>Open Pharma</w:t>
      </w:r>
      <w:r w:rsidR="00C65189">
        <w:rPr>
          <w:sz w:val="22"/>
          <w:szCs w:val="22"/>
        </w:rPr>
        <w:t xml:space="preserve"> at any time</w:t>
      </w:r>
      <w:r w:rsidRPr="00153D5A">
        <w:rPr>
          <w:sz w:val="22"/>
          <w:szCs w:val="22"/>
        </w:rPr>
        <w:t xml:space="preserve">, with or without cause, by </w:t>
      </w:r>
      <w:r w:rsidR="00C2117E" w:rsidRPr="00153D5A">
        <w:rPr>
          <w:sz w:val="22"/>
          <w:szCs w:val="22"/>
        </w:rPr>
        <w:t>contacting Oxford PharmaGenesis</w:t>
      </w:r>
      <w:r w:rsidRPr="00153D5A">
        <w:rPr>
          <w:sz w:val="22"/>
          <w:szCs w:val="22"/>
        </w:rPr>
        <w:t>. The</w:t>
      </w:r>
      <w:r w:rsidR="007D2056">
        <w:rPr>
          <w:sz w:val="22"/>
          <w:szCs w:val="22"/>
        </w:rPr>
        <w:t xml:space="preserve"> effective date of</w:t>
      </w:r>
      <w:r w:rsidRPr="00153D5A">
        <w:rPr>
          <w:sz w:val="22"/>
          <w:szCs w:val="22"/>
        </w:rPr>
        <w:t xml:space="preserve"> termination </w:t>
      </w:r>
      <w:r w:rsidR="00AC1F3C">
        <w:rPr>
          <w:sz w:val="22"/>
          <w:szCs w:val="22"/>
        </w:rPr>
        <w:t>will</w:t>
      </w:r>
      <w:r w:rsidR="00AC1F3C" w:rsidRPr="00153D5A">
        <w:rPr>
          <w:sz w:val="22"/>
          <w:szCs w:val="22"/>
        </w:rPr>
        <w:t xml:space="preserve"> </w:t>
      </w:r>
      <w:r w:rsidRPr="00153D5A">
        <w:rPr>
          <w:sz w:val="22"/>
          <w:szCs w:val="22"/>
        </w:rPr>
        <w:t xml:space="preserve">be the date stated in the notice of termination. </w:t>
      </w:r>
      <w:r w:rsidR="00C2117E" w:rsidRPr="00153D5A">
        <w:rPr>
          <w:sz w:val="22"/>
          <w:szCs w:val="22"/>
        </w:rPr>
        <w:t>There will be no refund of payments made or due.</w:t>
      </w:r>
    </w:p>
    <w:p w14:paraId="3CB66048" w14:textId="77777777" w:rsidR="008B76B1" w:rsidRPr="00153D5A" w:rsidRDefault="008B76B1" w:rsidP="002E253E">
      <w:pPr>
        <w:jc w:val="both"/>
        <w:rPr>
          <w:sz w:val="22"/>
          <w:szCs w:val="22"/>
        </w:rPr>
      </w:pPr>
    </w:p>
    <w:p w14:paraId="3B9879A8" w14:textId="0BE4FB49" w:rsidR="0020464D" w:rsidRPr="00153D5A" w:rsidRDefault="00C2117E" w:rsidP="002E253E">
      <w:pPr>
        <w:jc w:val="both"/>
        <w:rPr>
          <w:sz w:val="22"/>
          <w:szCs w:val="22"/>
        </w:rPr>
      </w:pPr>
      <w:r w:rsidRPr="00153D5A">
        <w:rPr>
          <w:sz w:val="22"/>
          <w:szCs w:val="22"/>
        </w:rPr>
        <w:t xml:space="preserve">Participants </w:t>
      </w:r>
      <w:r w:rsidR="00983463" w:rsidRPr="00153D5A">
        <w:rPr>
          <w:sz w:val="22"/>
          <w:szCs w:val="22"/>
        </w:rPr>
        <w:t>may be removed</w:t>
      </w:r>
      <w:r w:rsidRPr="00153D5A">
        <w:rPr>
          <w:sz w:val="22"/>
          <w:szCs w:val="22"/>
        </w:rPr>
        <w:t xml:space="preserve"> if they break the terms of this charter</w:t>
      </w:r>
      <w:r w:rsidR="00C65189">
        <w:rPr>
          <w:sz w:val="22"/>
          <w:szCs w:val="22"/>
        </w:rPr>
        <w:t>;</w:t>
      </w:r>
      <w:r w:rsidRPr="00153D5A">
        <w:rPr>
          <w:sz w:val="22"/>
          <w:szCs w:val="22"/>
        </w:rPr>
        <w:t xml:space="preserve"> in particular</w:t>
      </w:r>
      <w:r w:rsidR="005D0049">
        <w:rPr>
          <w:sz w:val="22"/>
          <w:szCs w:val="22"/>
        </w:rPr>
        <w:t>,</w:t>
      </w:r>
      <w:r w:rsidRPr="00153D5A">
        <w:rPr>
          <w:sz w:val="22"/>
          <w:szCs w:val="22"/>
        </w:rPr>
        <w:t xml:space="preserve"> if they c</w:t>
      </w:r>
      <w:r w:rsidR="00983463" w:rsidRPr="00153D5A">
        <w:rPr>
          <w:sz w:val="22"/>
          <w:szCs w:val="22"/>
        </w:rPr>
        <w:t>ease to meet the eligibility requirements</w:t>
      </w:r>
      <w:r w:rsidRPr="00153D5A">
        <w:rPr>
          <w:sz w:val="22"/>
          <w:szCs w:val="22"/>
        </w:rPr>
        <w:t>, violate the policies on information sharing or if they become</w:t>
      </w:r>
      <w:r w:rsidR="00983463" w:rsidRPr="00153D5A">
        <w:rPr>
          <w:sz w:val="22"/>
          <w:szCs w:val="22"/>
        </w:rPr>
        <w:t xml:space="preserve"> debarred, excluded or rendered ineligible from any </w:t>
      </w:r>
      <w:r w:rsidR="00A11862">
        <w:rPr>
          <w:sz w:val="22"/>
          <w:szCs w:val="22"/>
        </w:rPr>
        <w:t>s</w:t>
      </w:r>
      <w:r w:rsidR="00983463" w:rsidRPr="00D503A2">
        <w:rPr>
          <w:sz w:val="22"/>
          <w:szCs w:val="22"/>
        </w:rPr>
        <w:t>tate</w:t>
      </w:r>
      <w:r w:rsidR="00067686" w:rsidRPr="00153D5A">
        <w:rPr>
          <w:sz w:val="22"/>
          <w:szCs w:val="22"/>
        </w:rPr>
        <w:t xml:space="preserve">, </w:t>
      </w:r>
      <w:r w:rsidR="00A11862">
        <w:rPr>
          <w:sz w:val="22"/>
          <w:szCs w:val="22"/>
        </w:rPr>
        <w:t>f</w:t>
      </w:r>
      <w:r w:rsidR="00983463" w:rsidRPr="00153D5A">
        <w:rPr>
          <w:sz w:val="22"/>
          <w:szCs w:val="22"/>
        </w:rPr>
        <w:t>ederal</w:t>
      </w:r>
      <w:r w:rsidR="00067686" w:rsidRPr="00153D5A">
        <w:rPr>
          <w:sz w:val="22"/>
          <w:szCs w:val="22"/>
        </w:rPr>
        <w:t>, national or international</w:t>
      </w:r>
      <w:r w:rsidR="00983463" w:rsidRPr="00153D5A">
        <w:rPr>
          <w:sz w:val="22"/>
          <w:szCs w:val="22"/>
        </w:rPr>
        <w:t xml:space="preserve"> agency or program</w:t>
      </w:r>
      <w:r w:rsidR="00A85BF1" w:rsidRPr="00153D5A">
        <w:rPr>
          <w:sz w:val="22"/>
          <w:szCs w:val="22"/>
        </w:rPr>
        <w:t>me</w:t>
      </w:r>
      <w:r w:rsidR="00983463" w:rsidRPr="00153D5A">
        <w:rPr>
          <w:sz w:val="22"/>
          <w:szCs w:val="22"/>
        </w:rPr>
        <w:t>.</w:t>
      </w:r>
    </w:p>
    <w:p w14:paraId="637FF127" w14:textId="77777777" w:rsidR="00067686" w:rsidRPr="00153D5A" w:rsidRDefault="00067686" w:rsidP="002E253E">
      <w:pPr>
        <w:jc w:val="both"/>
        <w:rPr>
          <w:sz w:val="22"/>
          <w:szCs w:val="22"/>
        </w:rPr>
      </w:pPr>
    </w:p>
    <w:p w14:paraId="3E535E2D" w14:textId="1E31053E" w:rsidR="00067686" w:rsidRPr="00153D5A" w:rsidRDefault="00067686" w:rsidP="002E253E">
      <w:pPr>
        <w:jc w:val="both"/>
        <w:rPr>
          <w:sz w:val="22"/>
          <w:szCs w:val="22"/>
        </w:rPr>
      </w:pPr>
      <w:r w:rsidRPr="00153D5A">
        <w:rPr>
          <w:sz w:val="22"/>
          <w:szCs w:val="22"/>
        </w:rPr>
        <w:t xml:space="preserve">Oxford PharmaGenesis </w:t>
      </w:r>
      <w:r w:rsidR="006D4733" w:rsidRPr="00153D5A">
        <w:rPr>
          <w:sz w:val="22"/>
          <w:szCs w:val="22"/>
        </w:rPr>
        <w:t>reserves the right at any time</w:t>
      </w:r>
      <w:r w:rsidR="005D0049">
        <w:rPr>
          <w:sz w:val="22"/>
          <w:szCs w:val="22"/>
        </w:rPr>
        <w:t>,</w:t>
      </w:r>
      <w:r w:rsidR="006D4733" w:rsidRPr="00153D5A">
        <w:rPr>
          <w:sz w:val="22"/>
          <w:szCs w:val="22"/>
        </w:rPr>
        <w:t xml:space="preserve"> in consultation with the Steering Committee</w:t>
      </w:r>
      <w:r w:rsidR="005D0049">
        <w:rPr>
          <w:sz w:val="22"/>
          <w:szCs w:val="22"/>
        </w:rPr>
        <w:t>,</w:t>
      </w:r>
      <w:r w:rsidR="006D4733" w:rsidRPr="00153D5A">
        <w:rPr>
          <w:sz w:val="22"/>
          <w:szCs w:val="22"/>
        </w:rPr>
        <w:t xml:space="preserve"> to </w:t>
      </w:r>
      <w:r w:rsidRPr="00153D5A">
        <w:rPr>
          <w:sz w:val="22"/>
          <w:szCs w:val="22"/>
        </w:rPr>
        <w:t>adjust the scope of the Open Pharma project, close it or transfer it to another organi</w:t>
      </w:r>
      <w:r w:rsidR="00121880" w:rsidRPr="00153D5A">
        <w:rPr>
          <w:sz w:val="22"/>
          <w:szCs w:val="22"/>
        </w:rPr>
        <w:t>z</w:t>
      </w:r>
      <w:r w:rsidRPr="00153D5A">
        <w:rPr>
          <w:sz w:val="22"/>
          <w:szCs w:val="22"/>
        </w:rPr>
        <w:t>ation to act as secretariat.</w:t>
      </w:r>
    </w:p>
    <w:p w14:paraId="79AF5AFD" w14:textId="154F4CF4" w:rsidR="00601E38" w:rsidRPr="00153D5A" w:rsidRDefault="00601E38" w:rsidP="002E253E">
      <w:pPr>
        <w:spacing w:after="200" w:line="276" w:lineRule="auto"/>
        <w:jc w:val="both"/>
        <w:rPr>
          <w:b/>
          <w:sz w:val="22"/>
          <w:szCs w:val="22"/>
        </w:rPr>
      </w:pPr>
    </w:p>
    <w:p w14:paraId="574286D5" w14:textId="7946ADD4" w:rsidR="0020464D" w:rsidRPr="00153D5A" w:rsidRDefault="0020464D" w:rsidP="002E253E">
      <w:pPr>
        <w:pStyle w:val="Heading1"/>
        <w:jc w:val="both"/>
        <w:rPr>
          <w:sz w:val="22"/>
          <w:szCs w:val="22"/>
        </w:rPr>
      </w:pPr>
      <w:r w:rsidRPr="00153D5A">
        <w:rPr>
          <w:sz w:val="22"/>
          <w:szCs w:val="22"/>
        </w:rPr>
        <w:t xml:space="preserve">Article </w:t>
      </w:r>
      <w:r w:rsidR="006F253A" w:rsidRPr="00153D5A">
        <w:rPr>
          <w:sz w:val="22"/>
          <w:szCs w:val="22"/>
        </w:rPr>
        <w:t>3</w:t>
      </w:r>
      <w:r w:rsidRPr="00153D5A">
        <w:rPr>
          <w:sz w:val="22"/>
          <w:szCs w:val="22"/>
        </w:rPr>
        <w:t xml:space="preserve">. </w:t>
      </w:r>
      <w:r w:rsidR="00C2117E" w:rsidRPr="00153D5A">
        <w:rPr>
          <w:sz w:val="22"/>
          <w:szCs w:val="22"/>
        </w:rPr>
        <w:t>Governance</w:t>
      </w:r>
      <w:r w:rsidR="0070451C" w:rsidRPr="00153D5A">
        <w:rPr>
          <w:sz w:val="22"/>
          <w:szCs w:val="22"/>
        </w:rPr>
        <w:t>.</w:t>
      </w:r>
    </w:p>
    <w:p w14:paraId="2E3B7B03" w14:textId="6A88C7FB" w:rsidR="0020464D" w:rsidRPr="00153D5A" w:rsidRDefault="0020464D" w:rsidP="002E253E">
      <w:pPr>
        <w:pStyle w:val="Heading2"/>
        <w:jc w:val="both"/>
        <w:rPr>
          <w:sz w:val="22"/>
          <w:szCs w:val="22"/>
        </w:rPr>
      </w:pPr>
      <w:r w:rsidRPr="00153D5A">
        <w:rPr>
          <w:sz w:val="22"/>
          <w:szCs w:val="22"/>
        </w:rPr>
        <w:t xml:space="preserve">Section 1. </w:t>
      </w:r>
      <w:r w:rsidR="00BA1423" w:rsidRPr="00153D5A">
        <w:rPr>
          <w:sz w:val="22"/>
          <w:szCs w:val="22"/>
        </w:rPr>
        <w:t>Steering Committee</w:t>
      </w:r>
    </w:p>
    <w:p w14:paraId="3AEAEF91" w14:textId="1C6CC552" w:rsidR="00BA1423" w:rsidRPr="00153D5A" w:rsidRDefault="00BA1423" w:rsidP="002E253E">
      <w:pPr>
        <w:pStyle w:val="ListBullet"/>
        <w:numPr>
          <w:ilvl w:val="0"/>
          <w:numId w:val="0"/>
        </w:numPr>
        <w:jc w:val="both"/>
        <w:rPr>
          <w:sz w:val="22"/>
          <w:szCs w:val="22"/>
        </w:rPr>
      </w:pPr>
      <w:r w:rsidRPr="00153D5A">
        <w:rPr>
          <w:sz w:val="22"/>
          <w:szCs w:val="22"/>
        </w:rPr>
        <w:t xml:space="preserve">A </w:t>
      </w:r>
      <w:r w:rsidR="0020464D" w:rsidRPr="00153D5A">
        <w:rPr>
          <w:sz w:val="22"/>
          <w:szCs w:val="22"/>
        </w:rPr>
        <w:t>Steering Committee</w:t>
      </w:r>
      <w:r w:rsidRPr="00153D5A">
        <w:rPr>
          <w:sz w:val="22"/>
          <w:szCs w:val="22"/>
        </w:rPr>
        <w:t xml:space="preserve"> will provide direction to Oxford PharmaGenesis on the affairs of Open Pharma</w:t>
      </w:r>
      <w:r w:rsidR="0020464D" w:rsidRPr="00153D5A">
        <w:rPr>
          <w:sz w:val="22"/>
          <w:szCs w:val="22"/>
        </w:rPr>
        <w:t>. T</w:t>
      </w:r>
      <w:r w:rsidRPr="00153D5A">
        <w:rPr>
          <w:sz w:val="22"/>
          <w:szCs w:val="22"/>
        </w:rPr>
        <w:t>he Steering Committee will comprise one</w:t>
      </w:r>
      <w:r w:rsidR="00F749AF" w:rsidRPr="00153D5A">
        <w:rPr>
          <w:sz w:val="22"/>
          <w:szCs w:val="22"/>
        </w:rPr>
        <w:t xml:space="preserve"> or two</w:t>
      </w:r>
      <w:r w:rsidRPr="00153D5A">
        <w:rPr>
          <w:sz w:val="22"/>
          <w:szCs w:val="22"/>
        </w:rPr>
        <w:t xml:space="preserve"> representative</w:t>
      </w:r>
      <w:r w:rsidR="00F749AF" w:rsidRPr="00153D5A">
        <w:rPr>
          <w:sz w:val="22"/>
          <w:szCs w:val="22"/>
        </w:rPr>
        <w:t>s</w:t>
      </w:r>
      <w:r w:rsidRPr="00153D5A">
        <w:rPr>
          <w:sz w:val="22"/>
          <w:szCs w:val="22"/>
        </w:rPr>
        <w:t xml:space="preserve"> from each </w:t>
      </w:r>
      <w:r w:rsidR="00C01AFA" w:rsidRPr="00153D5A">
        <w:rPr>
          <w:sz w:val="22"/>
          <w:szCs w:val="22"/>
        </w:rPr>
        <w:t>funding M</w:t>
      </w:r>
      <w:r w:rsidR="002A7E88" w:rsidRPr="00153D5A">
        <w:rPr>
          <w:sz w:val="22"/>
          <w:szCs w:val="22"/>
        </w:rPr>
        <w:t>ember</w:t>
      </w:r>
      <w:r w:rsidRPr="00153D5A">
        <w:rPr>
          <w:sz w:val="22"/>
          <w:szCs w:val="22"/>
        </w:rPr>
        <w:t>, including Oxford PharmaGenesis.</w:t>
      </w:r>
      <w:r w:rsidR="00C2117E" w:rsidRPr="00153D5A">
        <w:rPr>
          <w:sz w:val="22"/>
          <w:szCs w:val="22"/>
        </w:rPr>
        <w:t xml:space="preserve"> </w:t>
      </w:r>
      <w:r w:rsidRPr="00153D5A">
        <w:rPr>
          <w:sz w:val="22"/>
          <w:szCs w:val="22"/>
        </w:rPr>
        <w:t xml:space="preserve">It is not mandatory for a </w:t>
      </w:r>
      <w:r w:rsidR="00C7436E" w:rsidRPr="00153D5A">
        <w:rPr>
          <w:sz w:val="22"/>
          <w:szCs w:val="22"/>
        </w:rPr>
        <w:t>M</w:t>
      </w:r>
      <w:r w:rsidR="002A7E88" w:rsidRPr="00153D5A">
        <w:rPr>
          <w:sz w:val="22"/>
          <w:szCs w:val="22"/>
        </w:rPr>
        <w:t>ember</w:t>
      </w:r>
      <w:r w:rsidRPr="00153D5A">
        <w:rPr>
          <w:sz w:val="22"/>
          <w:szCs w:val="22"/>
        </w:rPr>
        <w:t xml:space="preserve"> to be in the Steering Committee; however, it should be </w:t>
      </w:r>
      <w:r w:rsidR="00A85BF1" w:rsidRPr="00153D5A">
        <w:rPr>
          <w:sz w:val="22"/>
          <w:szCs w:val="22"/>
        </w:rPr>
        <w:t xml:space="preserve">recognized </w:t>
      </w:r>
      <w:r w:rsidRPr="00153D5A">
        <w:rPr>
          <w:sz w:val="22"/>
          <w:szCs w:val="22"/>
        </w:rPr>
        <w:t>that this is the primary decision-making forum for the project.</w:t>
      </w:r>
      <w:r w:rsidR="002A7E88" w:rsidRPr="00153D5A">
        <w:rPr>
          <w:sz w:val="22"/>
          <w:szCs w:val="22"/>
        </w:rPr>
        <w:t xml:space="preserve"> Once admitted, seat</w:t>
      </w:r>
      <w:r w:rsidR="005D0049">
        <w:rPr>
          <w:sz w:val="22"/>
          <w:szCs w:val="22"/>
        </w:rPr>
        <w:t xml:space="preserve"> </w:t>
      </w:r>
      <w:r w:rsidR="002A7E88" w:rsidRPr="00153D5A">
        <w:rPr>
          <w:sz w:val="22"/>
          <w:szCs w:val="22"/>
        </w:rPr>
        <w:t xml:space="preserve">holders on the </w:t>
      </w:r>
      <w:r w:rsidR="005D0049">
        <w:rPr>
          <w:sz w:val="22"/>
          <w:szCs w:val="22"/>
        </w:rPr>
        <w:t>S</w:t>
      </w:r>
      <w:r w:rsidR="005D0049" w:rsidRPr="00153D5A">
        <w:rPr>
          <w:sz w:val="22"/>
          <w:szCs w:val="22"/>
        </w:rPr>
        <w:t xml:space="preserve">teering </w:t>
      </w:r>
      <w:r w:rsidR="005D0049">
        <w:rPr>
          <w:sz w:val="22"/>
          <w:szCs w:val="22"/>
        </w:rPr>
        <w:t>C</w:t>
      </w:r>
      <w:r w:rsidR="005D0049" w:rsidRPr="00153D5A">
        <w:rPr>
          <w:sz w:val="22"/>
          <w:szCs w:val="22"/>
        </w:rPr>
        <w:t xml:space="preserve">ommittee </w:t>
      </w:r>
      <w:r w:rsidR="002A7E88" w:rsidRPr="00153D5A">
        <w:rPr>
          <w:sz w:val="22"/>
          <w:szCs w:val="22"/>
        </w:rPr>
        <w:t xml:space="preserve">will remain on the committee for a period of </w:t>
      </w:r>
      <w:r w:rsidR="005D0049">
        <w:rPr>
          <w:sz w:val="22"/>
          <w:szCs w:val="22"/>
        </w:rPr>
        <w:t>1</w:t>
      </w:r>
      <w:r w:rsidR="005D0049" w:rsidRPr="00153D5A">
        <w:rPr>
          <w:sz w:val="22"/>
          <w:szCs w:val="22"/>
        </w:rPr>
        <w:t xml:space="preserve"> </w:t>
      </w:r>
      <w:r w:rsidR="002A7E88" w:rsidRPr="00153D5A">
        <w:rPr>
          <w:sz w:val="22"/>
          <w:szCs w:val="22"/>
        </w:rPr>
        <w:t xml:space="preserve">year, after which they may be reconfirmed or leave the committee. </w:t>
      </w:r>
      <w:r w:rsidR="00743BDC">
        <w:rPr>
          <w:sz w:val="22"/>
          <w:szCs w:val="22"/>
        </w:rPr>
        <w:t>The Chair is not a standing member of the Steering Committee but may be invited to meetings at the discretion of the Members.</w:t>
      </w:r>
    </w:p>
    <w:p w14:paraId="1F7FDD72" w14:textId="61137206" w:rsidR="00BA1423" w:rsidRPr="00153D5A" w:rsidRDefault="00635FED" w:rsidP="00F749AF">
      <w:pPr>
        <w:pStyle w:val="ListBullet"/>
        <w:numPr>
          <w:ilvl w:val="0"/>
          <w:numId w:val="0"/>
        </w:numPr>
        <w:tabs>
          <w:tab w:val="left" w:pos="720"/>
        </w:tabs>
        <w:rPr>
          <w:sz w:val="22"/>
          <w:szCs w:val="22"/>
        </w:rPr>
      </w:pPr>
      <w:r w:rsidRPr="00153D5A">
        <w:br/>
      </w:r>
      <w:r w:rsidR="005C3AC1" w:rsidRPr="00153D5A">
        <w:rPr>
          <w:sz w:val="22"/>
          <w:szCs w:val="22"/>
        </w:rPr>
        <w:t xml:space="preserve">The Steering Committee will meet </w:t>
      </w:r>
      <w:r w:rsidR="00067686" w:rsidRPr="00153D5A">
        <w:rPr>
          <w:sz w:val="22"/>
          <w:szCs w:val="22"/>
        </w:rPr>
        <w:t>at least once per year</w:t>
      </w:r>
      <w:r w:rsidR="005D0049">
        <w:rPr>
          <w:sz w:val="22"/>
          <w:szCs w:val="22"/>
        </w:rPr>
        <w:t>,</w:t>
      </w:r>
      <w:r w:rsidR="00067686" w:rsidRPr="00153D5A">
        <w:rPr>
          <w:sz w:val="22"/>
          <w:szCs w:val="22"/>
        </w:rPr>
        <w:t xml:space="preserve"> and additionally as needed, either</w:t>
      </w:r>
      <w:r w:rsidR="00351FA9">
        <w:rPr>
          <w:sz w:val="22"/>
          <w:szCs w:val="22"/>
        </w:rPr>
        <w:t xml:space="preserve"> face-to-face</w:t>
      </w:r>
      <w:r w:rsidR="00067686" w:rsidRPr="00153D5A">
        <w:rPr>
          <w:sz w:val="22"/>
          <w:szCs w:val="22"/>
        </w:rPr>
        <w:t xml:space="preserve"> or</w:t>
      </w:r>
      <w:r w:rsidR="005C3AC1" w:rsidRPr="00153D5A">
        <w:rPr>
          <w:sz w:val="22"/>
          <w:szCs w:val="22"/>
        </w:rPr>
        <w:t xml:space="preserve"> virtually</w:t>
      </w:r>
      <w:r w:rsidR="006653B4" w:rsidRPr="00153D5A">
        <w:rPr>
          <w:sz w:val="22"/>
          <w:szCs w:val="22"/>
        </w:rPr>
        <w:t>.</w:t>
      </w:r>
      <w:r w:rsidR="005C3AC1" w:rsidRPr="00153D5A">
        <w:rPr>
          <w:sz w:val="22"/>
          <w:szCs w:val="22"/>
        </w:rPr>
        <w:t xml:space="preserve"> </w:t>
      </w:r>
      <w:r w:rsidR="006653B4" w:rsidRPr="00153D5A">
        <w:rPr>
          <w:sz w:val="22"/>
          <w:szCs w:val="22"/>
        </w:rPr>
        <w:t>T</w:t>
      </w:r>
      <w:r w:rsidR="005C3AC1" w:rsidRPr="00153D5A">
        <w:rPr>
          <w:sz w:val="22"/>
          <w:szCs w:val="22"/>
        </w:rPr>
        <w:t>opics</w:t>
      </w:r>
      <w:r w:rsidR="006653B4" w:rsidRPr="00153D5A">
        <w:rPr>
          <w:sz w:val="22"/>
          <w:szCs w:val="22"/>
        </w:rPr>
        <w:t xml:space="preserve"> may also be discussed</w:t>
      </w:r>
      <w:r w:rsidR="005C3AC1" w:rsidRPr="00153D5A">
        <w:rPr>
          <w:sz w:val="22"/>
          <w:szCs w:val="22"/>
        </w:rPr>
        <w:t xml:space="preserve"> by email </w:t>
      </w:r>
      <w:r w:rsidR="000C3019">
        <w:rPr>
          <w:sz w:val="22"/>
          <w:szCs w:val="22"/>
        </w:rPr>
        <w:t>or</w:t>
      </w:r>
      <w:r w:rsidR="000C3019" w:rsidRPr="00153D5A">
        <w:rPr>
          <w:sz w:val="22"/>
          <w:szCs w:val="22"/>
        </w:rPr>
        <w:t xml:space="preserve"> </w:t>
      </w:r>
      <w:r w:rsidR="005C3AC1" w:rsidRPr="00153D5A">
        <w:rPr>
          <w:sz w:val="22"/>
          <w:szCs w:val="22"/>
        </w:rPr>
        <w:t xml:space="preserve">other </w:t>
      </w:r>
      <w:r w:rsidR="000C3019">
        <w:rPr>
          <w:sz w:val="22"/>
          <w:szCs w:val="22"/>
        </w:rPr>
        <w:t>means</w:t>
      </w:r>
      <w:r w:rsidR="005C3AC1" w:rsidRPr="00153D5A">
        <w:rPr>
          <w:sz w:val="22"/>
          <w:szCs w:val="22"/>
        </w:rPr>
        <w:t xml:space="preserve"> of communication as needed. </w:t>
      </w:r>
      <w:r w:rsidR="002C1FDA" w:rsidRPr="00153D5A">
        <w:rPr>
          <w:sz w:val="22"/>
          <w:szCs w:val="22"/>
        </w:rPr>
        <w:t>Oxford PharmaGenesis will compile an agenda with proposals and issues to discuss with the</w:t>
      </w:r>
      <w:r w:rsidR="00BA1423" w:rsidRPr="00153D5A">
        <w:rPr>
          <w:sz w:val="22"/>
          <w:szCs w:val="22"/>
        </w:rPr>
        <w:t xml:space="preserve"> Steering </w:t>
      </w:r>
      <w:r w:rsidR="00BA1423" w:rsidRPr="00153D5A">
        <w:rPr>
          <w:sz w:val="22"/>
          <w:szCs w:val="22"/>
        </w:rPr>
        <w:lastRenderedPageBreak/>
        <w:t>Committee</w:t>
      </w:r>
      <w:r w:rsidR="002C1FDA" w:rsidRPr="00153D5A">
        <w:rPr>
          <w:sz w:val="22"/>
          <w:szCs w:val="22"/>
        </w:rPr>
        <w:t xml:space="preserve">; </w:t>
      </w:r>
      <w:r w:rsidR="00DB6B49" w:rsidRPr="00153D5A">
        <w:rPr>
          <w:sz w:val="22"/>
          <w:szCs w:val="22"/>
        </w:rPr>
        <w:t xml:space="preserve">members, supporters and </w:t>
      </w:r>
      <w:r w:rsidR="00100762">
        <w:rPr>
          <w:sz w:val="22"/>
          <w:szCs w:val="22"/>
        </w:rPr>
        <w:t>adviser</w:t>
      </w:r>
      <w:r w:rsidR="00DB6B49" w:rsidRPr="00153D5A">
        <w:rPr>
          <w:sz w:val="22"/>
          <w:szCs w:val="22"/>
        </w:rPr>
        <w:t>s are all</w:t>
      </w:r>
      <w:r w:rsidR="002C1FDA" w:rsidRPr="00153D5A">
        <w:rPr>
          <w:sz w:val="22"/>
          <w:szCs w:val="22"/>
        </w:rPr>
        <w:t xml:space="preserve"> welcome to submit agenda items. The Steering Committee will be facilitated by Oxford PharmaGenesis and</w:t>
      </w:r>
      <w:r w:rsidR="00BA1423" w:rsidRPr="00153D5A">
        <w:rPr>
          <w:sz w:val="22"/>
          <w:szCs w:val="22"/>
        </w:rPr>
        <w:t xml:space="preserve"> will operate by consensus</w:t>
      </w:r>
      <w:r w:rsidR="00DB6B49" w:rsidRPr="00153D5A">
        <w:rPr>
          <w:sz w:val="22"/>
          <w:szCs w:val="22"/>
        </w:rPr>
        <w:t xml:space="preserve">. </w:t>
      </w:r>
      <w:r w:rsidR="003771BC" w:rsidRPr="00153D5A">
        <w:rPr>
          <w:sz w:val="22"/>
          <w:szCs w:val="22"/>
        </w:rPr>
        <w:t>M</w:t>
      </w:r>
      <w:r w:rsidR="00DB6B49" w:rsidRPr="00153D5A">
        <w:rPr>
          <w:sz w:val="22"/>
          <w:szCs w:val="22"/>
        </w:rPr>
        <w:t>ajor policy statements and other significant decisions</w:t>
      </w:r>
      <w:r w:rsidR="003771BC" w:rsidRPr="00153D5A">
        <w:rPr>
          <w:sz w:val="22"/>
          <w:szCs w:val="22"/>
        </w:rPr>
        <w:t xml:space="preserve"> may be put to </w:t>
      </w:r>
      <w:r w:rsidR="00DB6B49" w:rsidRPr="00153D5A">
        <w:rPr>
          <w:sz w:val="22"/>
          <w:szCs w:val="22"/>
        </w:rPr>
        <w:t>a vote</w:t>
      </w:r>
      <w:r w:rsidR="003771BC" w:rsidRPr="00153D5A">
        <w:rPr>
          <w:sz w:val="22"/>
          <w:szCs w:val="22"/>
        </w:rPr>
        <w:t>.</w:t>
      </w:r>
      <w:r w:rsidR="00DB6B49" w:rsidRPr="00153D5A">
        <w:rPr>
          <w:sz w:val="22"/>
          <w:szCs w:val="22"/>
        </w:rPr>
        <w:t xml:space="preserve"> Steering Committee members may </w:t>
      </w:r>
      <w:r w:rsidR="00C01AFA" w:rsidRPr="00153D5A">
        <w:rPr>
          <w:sz w:val="22"/>
          <w:szCs w:val="22"/>
        </w:rPr>
        <w:t>ab</w:t>
      </w:r>
      <w:r w:rsidR="00DB6B49" w:rsidRPr="00153D5A">
        <w:rPr>
          <w:sz w:val="22"/>
          <w:szCs w:val="22"/>
        </w:rPr>
        <w:t>stain from a vote</w:t>
      </w:r>
      <w:r w:rsidR="00145DCF">
        <w:rPr>
          <w:sz w:val="22"/>
          <w:szCs w:val="22"/>
        </w:rPr>
        <w:t>,</w:t>
      </w:r>
      <w:r w:rsidR="00DB6B49" w:rsidRPr="00153D5A">
        <w:rPr>
          <w:sz w:val="22"/>
          <w:szCs w:val="22"/>
        </w:rPr>
        <w:t xml:space="preserve"> if desired</w:t>
      </w:r>
      <w:r w:rsidR="00BA1423" w:rsidRPr="00153D5A">
        <w:rPr>
          <w:sz w:val="22"/>
          <w:szCs w:val="22"/>
        </w:rPr>
        <w:t>.</w:t>
      </w:r>
      <w:r w:rsidR="005C3AC1" w:rsidRPr="00153D5A">
        <w:rPr>
          <w:sz w:val="22"/>
          <w:szCs w:val="22"/>
        </w:rPr>
        <w:t xml:space="preserve"> </w:t>
      </w:r>
      <w:r w:rsidR="00AD7476" w:rsidRPr="00153D5A">
        <w:rPr>
          <w:sz w:val="22"/>
          <w:szCs w:val="22"/>
        </w:rPr>
        <w:t xml:space="preserve">A </w:t>
      </w:r>
      <w:r w:rsidR="006653B4" w:rsidRPr="00153D5A">
        <w:rPr>
          <w:sz w:val="22"/>
          <w:szCs w:val="22"/>
        </w:rPr>
        <w:t xml:space="preserve">simple </w:t>
      </w:r>
      <w:r w:rsidR="00AD7476" w:rsidRPr="00153D5A">
        <w:rPr>
          <w:sz w:val="22"/>
          <w:szCs w:val="22"/>
        </w:rPr>
        <w:t xml:space="preserve">majority of the entire Steering Committee </w:t>
      </w:r>
      <w:r w:rsidR="00AC1F3C">
        <w:rPr>
          <w:sz w:val="22"/>
          <w:szCs w:val="22"/>
        </w:rPr>
        <w:t>will</w:t>
      </w:r>
      <w:r w:rsidR="00AC1F3C" w:rsidRPr="00153D5A">
        <w:rPr>
          <w:sz w:val="22"/>
          <w:szCs w:val="22"/>
        </w:rPr>
        <w:t xml:space="preserve"> </w:t>
      </w:r>
      <w:r w:rsidR="00AD7476" w:rsidRPr="00153D5A">
        <w:rPr>
          <w:sz w:val="22"/>
          <w:szCs w:val="22"/>
        </w:rPr>
        <w:t>constitute a quorum for decisions.</w:t>
      </w:r>
      <w:r w:rsidR="00F05D7A" w:rsidRPr="00153D5A">
        <w:rPr>
          <w:sz w:val="22"/>
          <w:szCs w:val="22"/>
        </w:rPr>
        <w:t xml:space="preserve"> </w:t>
      </w:r>
      <w:r w:rsidR="00DB6B49" w:rsidRPr="00153D5A">
        <w:rPr>
          <w:sz w:val="22"/>
          <w:szCs w:val="22"/>
        </w:rPr>
        <w:t xml:space="preserve">Non-vote items </w:t>
      </w:r>
      <w:r w:rsidR="00F05D7A" w:rsidRPr="00153D5A">
        <w:rPr>
          <w:sz w:val="22"/>
          <w:szCs w:val="22"/>
        </w:rPr>
        <w:t xml:space="preserve">are not binding and are </w:t>
      </w:r>
      <w:r w:rsidR="00100762">
        <w:rPr>
          <w:sz w:val="22"/>
          <w:szCs w:val="22"/>
        </w:rPr>
        <w:t>advisor</w:t>
      </w:r>
      <w:r w:rsidR="00100762" w:rsidRPr="00153D5A">
        <w:rPr>
          <w:sz w:val="22"/>
          <w:szCs w:val="22"/>
        </w:rPr>
        <w:t>y</w:t>
      </w:r>
      <w:r w:rsidR="00F05D7A" w:rsidRPr="00153D5A">
        <w:rPr>
          <w:sz w:val="22"/>
          <w:szCs w:val="22"/>
        </w:rPr>
        <w:t xml:space="preserve"> direction only for actions for Oxford PharmaGenesis and other participants.</w:t>
      </w:r>
      <w:r w:rsidR="00C7436E" w:rsidRPr="00153D5A">
        <w:rPr>
          <w:sz w:val="22"/>
          <w:szCs w:val="22"/>
        </w:rPr>
        <w:t xml:space="preserve"> Discussions within the Steering Committee are confidential unless agreed otherwise. Decisions made by the Steering Committee will be reported to the </w:t>
      </w:r>
      <w:r w:rsidR="00AC1F3C">
        <w:rPr>
          <w:sz w:val="22"/>
          <w:szCs w:val="22"/>
        </w:rPr>
        <w:t>S</w:t>
      </w:r>
      <w:r w:rsidR="00C7436E" w:rsidRPr="00153D5A">
        <w:rPr>
          <w:sz w:val="22"/>
          <w:szCs w:val="22"/>
        </w:rPr>
        <w:t>upporters and other participants as relevant.</w:t>
      </w:r>
    </w:p>
    <w:p w14:paraId="075F2B85" w14:textId="77777777" w:rsidR="008B76B1" w:rsidRPr="00153D5A" w:rsidRDefault="008B76B1" w:rsidP="00CE3446">
      <w:pPr>
        <w:pStyle w:val="ListBullet"/>
        <w:numPr>
          <w:ilvl w:val="0"/>
          <w:numId w:val="0"/>
        </w:numPr>
        <w:jc w:val="both"/>
        <w:rPr>
          <w:sz w:val="22"/>
          <w:szCs w:val="22"/>
        </w:rPr>
      </w:pPr>
    </w:p>
    <w:p w14:paraId="69153D45" w14:textId="420A39C1" w:rsidR="005C3AC1" w:rsidRPr="00153D5A" w:rsidRDefault="005C3AC1" w:rsidP="00CE3446">
      <w:pPr>
        <w:pStyle w:val="Heading2"/>
        <w:jc w:val="both"/>
        <w:rPr>
          <w:sz w:val="22"/>
          <w:szCs w:val="22"/>
        </w:rPr>
      </w:pPr>
      <w:r w:rsidRPr="00153D5A">
        <w:rPr>
          <w:sz w:val="22"/>
          <w:szCs w:val="22"/>
        </w:rPr>
        <w:t>Section 2. Chair</w:t>
      </w:r>
    </w:p>
    <w:p w14:paraId="6EDC637E" w14:textId="758316B1" w:rsidR="005C3AC1" w:rsidRPr="00153D5A" w:rsidRDefault="005C3AC1" w:rsidP="00CE3446">
      <w:pPr>
        <w:pStyle w:val="ListBullet"/>
        <w:numPr>
          <w:ilvl w:val="0"/>
          <w:numId w:val="0"/>
        </w:numPr>
        <w:jc w:val="both"/>
        <w:rPr>
          <w:sz w:val="22"/>
          <w:szCs w:val="22"/>
        </w:rPr>
      </w:pPr>
      <w:r w:rsidRPr="00153D5A">
        <w:rPr>
          <w:sz w:val="22"/>
          <w:szCs w:val="22"/>
        </w:rPr>
        <w:t xml:space="preserve">The founding </w:t>
      </w:r>
      <w:r w:rsidR="006161C6">
        <w:rPr>
          <w:sz w:val="22"/>
          <w:szCs w:val="22"/>
        </w:rPr>
        <w:t>Chair</w:t>
      </w:r>
      <w:r w:rsidR="006161C6" w:rsidRPr="00153D5A">
        <w:rPr>
          <w:sz w:val="22"/>
          <w:szCs w:val="22"/>
        </w:rPr>
        <w:t xml:space="preserve"> </w:t>
      </w:r>
      <w:r w:rsidRPr="00153D5A">
        <w:rPr>
          <w:sz w:val="22"/>
          <w:szCs w:val="22"/>
        </w:rPr>
        <w:t xml:space="preserve">of Open Pharma is Dr Richard Smith, acting as a paid consultant to Oxford PharmaGenesis. The </w:t>
      </w:r>
      <w:r w:rsidR="006161C6">
        <w:rPr>
          <w:sz w:val="22"/>
          <w:szCs w:val="22"/>
        </w:rPr>
        <w:t>Chair</w:t>
      </w:r>
      <w:r w:rsidR="006161C6" w:rsidRPr="00153D5A">
        <w:rPr>
          <w:sz w:val="22"/>
          <w:szCs w:val="22"/>
        </w:rPr>
        <w:t xml:space="preserve"> </w:t>
      </w:r>
      <w:r w:rsidRPr="00153D5A">
        <w:rPr>
          <w:sz w:val="22"/>
          <w:szCs w:val="22"/>
        </w:rPr>
        <w:t xml:space="preserve">is paid for </w:t>
      </w:r>
      <w:r w:rsidR="005D0049">
        <w:rPr>
          <w:sz w:val="22"/>
          <w:szCs w:val="22"/>
        </w:rPr>
        <w:t>their</w:t>
      </w:r>
      <w:r w:rsidR="005D0049" w:rsidRPr="00153D5A">
        <w:rPr>
          <w:sz w:val="22"/>
          <w:szCs w:val="22"/>
        </w:rPr>
        <w:t xml:space="preserve"> </w:t>
      </w:r>
      <w:r w:rsidRPr="00153D5A">
        <w:rPr>
          <w:sz w:val="22"/>
          <w:szCs w:val="22"/>
        </w:rPr>
        <w:t>time at a fair market rate, and reasonable expenses as agreed are necessary for the project.</w:t>
      </w:r>
      <w:r w:rsidR="00AD7476" w:rsidRPr="00153D5A">
        <w:rPr>
          <w:sz w:val="22"/>
          <w:szCs w:val="22"/>
        </w:rPr>
        <w:t xml:space="preserve"> The role of the </w:t>
      </w:r>
      <w:r w:rsidR="006161C6">
        <w:rPr>
          <w:sz w:val="22"/>
          <w:szCs w:val="22"/>
        </w:rPr>
        <w:t>Chair</w:t>
      </w:r>
      <w:r w:rsidR="006161C6" w:rsidRPr="00153D5A">
        <w:rPr>
          <w:sz w:val="22"/>
          <w:szCs w:val="22"/>
        </w:rPr>
        <w:t xml:space="preserve"> </w:t>
      </w:r>
      <w:r w:rsidR="00AD7476" w:rsidRPr="00153D5A">
        <w:rPr>
          <w:sz w:val="22"/>
          <w:szCs w:val="22"/>
        </w:rPr>
        <w:t>is to initiate contact, facilitate meetings, review materials and be involved in</w:t>
      </w:r>
      <w:r w:rsidR="00A85BF1" w:rsidRPr="00153D5A">
        <w:rPr>
          <w:sz w:val="22"/>
          <w:szCs w:val="22"/>
        </w:rPr>
        <w:t xml:space="preserve"> the</w:t>
      </w:r>
      <w:r w:rsidR="00AD7476" w:rsidRPr="00153D5A">
        <w:rPr>
          <w:sz w:val="22"/>
          <w:szCs w:val="22"/>
        </w:rPr>
        <w:t xml:space="preserve"> direction of Open Pharma.</w:t>
      </w:r>
      <w:r w:rsidR="00DB6B49" w:rsidRPr="00153D5A">
        <w:rPr>
          <w:sz w:val="22"/>
          <w:szCs w:val="22"/>
        </w:rPr>
        <w:t xml:space="preserve"> In the case that the serving </w:t>
      </w:r>
      <w:r w:rsidR="006161C6">
        <w:rPr>
          <w:sz w:val="22"/>
          <w:szCs w:val="22"/>
        </w:rPr>
        <w:t>Chair</w:t>
      </w:r>
      <w:r w:rsidR="006161C6" w:rsidRPr="00153D5A">
        <w:rPr>
          <w:sz w:val="22"/>
          <w:szCs w:val="22"/>
        </w:rPr>
        <w:t xml:space="preserve"> </w:t>
      </w:r>
      <w:r w:rsidR="00DB6B49" w:rsidRPr="00153D5A">
        <w:rPr>
          <w:sz w:val="22"/>
          <w:szCs w:val="22"/>
        </w:rPr>
        <w:t xml:space="preserve">wishes to resign their post, a replacement will be agreed and invited by the </w:t>
      </w:r>
      <w:r w:rsidR="00C01AFA" w:rsidRPr="00153D5A">
        <w:rPr>
          <w:sz w:val="22"/>
          <w:szCs w:val="22"/>
        </w:rPr>
        <w:t>S</w:t>
      </w:r>
      <w:r w:rsidR="00DB6B49" w:rsidRPr="00153D5A">
        <w:rPr>
          <w:sz w:val="22"/>
          <w:szCs w:val="22"/>
        </w:rPr>
        <w:t xml:space="preserve">teering </w:t>
      </w:r>
      <w:r w:rsidR="00C01AFA" w:rsidRPr="00153D5A">
        <w:rPr>
          <w:sz w:val="22"/>
          <w:szCs w:val="22"/>
        </w:rPr>
        <w:t>C</w:t>
      </w:r>
      <w:r w:rsidR="00DB6B49" w:rsidRPr="00153D5A">
        <w:rPr>
          <w:sz w:val="22"/>
          <w:szCs w:val="22"/>
        </w:rPr>
        <w:t xml:space="preserve">ommittee following a vote. Candidates for </w:t>
      </w:r>
      <w:r w:rsidR="006161C6">
        <w:rPr>
          <w:sz w:val="22"/>
          <w:szCs w:val="22"/>
        </w:rPr>
        <w:t>Chair</w:t>
      </w:r>
      <w:r w:rsidR="006161C6" w:rsidRPr="00153D5A">
        <w:rPr>
          <w:sz w:val="22"/>
          <w:szCs w:val="22"/>
        </w:rPr>
        <w:t xml:space="preserve"> </w:t>
      </w:r>
      <w:r w:rsidR="00DB6B49" w:rsidRPr="00153D5A">
        <w:rPr>
          <w:sz w:val="22"/>
          <w:szCs w:val="22"/>
        </w:rPr>
        <w:t xml:space="preserve">will be shortlisted by </w:t>
      </w:r>
      <w:r w:rsidR="00C01AFA" w:rsidRPr="00153D5A">
        <w:rPr>
          <w:sz w:val="22"/>
          <w:szCs w:val="22"/>
        </w:rPr>
        <w:t>Oxford PharmaGenesis</w:t>
      </w:r>
      <w:r w:rsidR="00DB6B49" w:rsidRPr="00153D5A">
        <w:rPr>
          <w:sz w:val="22"/>
          <w:szCs w:val="22"/>
        </w:rPr>
        <w:t>, and suggestions from all members, supporters and participants will be encouraged to inform this shortlist.</w:t>
      </w:r>
      <w:r w:rsidR="00FE0D66" w:rsidRPr="00153D5A">
        <w:rPr>
          <w:sz w:val="22"/>
          <w:szCs w:val="22"/>
        </w:rPr>
        <w:t xml:space="preserve"> </w:t>
      </w:r>
    </w:p>
    <w:p w14:paraId="17E1DA67" w14:textId="77777777" w:rsidR="00F40255" w:rsidRPr="00153D5A" w:rsidRDefault="00F40255" w:rsidP="00CE3446">
      <w:pPr>
        <w:pStyle w:val="ListBullet"/>
        <w:numPr>
          <w:ilvl w:val="0"/>
          <w:numId w:val="0"/>
        </w:numPr>
        <w:jc w:val="both"/>
        <w:rPr>
          <w:sz w:val="22"/>
          <w:szCs w:val="22"/>
        </w:rPr>
      </w:pPr>
    </w:p>
    <w:p w14:paraId="4E845E2F" w14:textId="410A76A4" w:rsidR="00F40255" w:rsidRPr="00153D5A" w:rsidRDefault="008B76B1" w:rsidP="00CE3446">
      <w:pPr>
        <w:pStyle w:val="Heading2"/>
        <w:jc w:val="both"/>
        <w:rPr>
          <w:sz w:val="22"/>
          <w:szCs w:val="22"/>
        </w:rPr>
      </w:pPr>
      <w:r w:rsidRPr="00153D5A">
        <w:rPr>
          <w:sz w:val="22"/>
          <w:szCs w:val="22"/>
        </w:rPr>
        <w:t xml:space="preserve">Section </w:t>
      </w:r>
      <w:r w:rsidR="0070451C" w:rsidRPr="00153D5A">
        <w:rPr>
          <w:sz w:val="22"/>
          <w:szCs w:val="22"/>
        </w:rPr>
        <w:t>3</w:t>
      </w:r>
      <w:r w:rsidRPr="00153D5A">
        <w:rPr>
          <w:sz w:val="22"/>
          <w:szCs w:val="22"/>
        </w:rPr>
        <w:t xml:space="preserve">. </w:t>
      </w:r>
      <w:r w:rsidR="005C3AC1" w:rsidRPr="00153D5A">
        <w:rPr>
          <w:sz w:val="22"/>
          <w:szCs w:val="22"/>
        </w:rPr>
        <w:t>Workstreams</w:t>
      </w:r>
    </w:p>
    <w:p w14:paraId="471E16D4" w14:textId="4976529C" w:rsidR="007733A9" w:rsidRPr="00153D5A" w:rsidRDefault="005C3AC1" w:rsidP="00CE3446">
      <w:pPr>
        <w:pStyle w:val="ListBullet"/>
        <w:numPr>
          <w:ilvl w:val="0"/>
          <w:numId w:val="0"/>
        </w:numPr>
        <w:jc w:val="both"/>
        <w:rPr>
          <w:sz w:val="22"/>
          <w:szCs w:val="22"/>
        </w:rPr>
      </w:pPr>
      <w:r w:rsidRPr="00153D5A">
        <w:rPr>
          <w:sz w:val="22"/>
          <w:szCs w:val="22"/>
        </w:rPr>
        <w:t>As directed by the Steering Committee, Oxford PharmaGenesis may convene small groups of participants of Open Pharma as workstreams, to investigate specific topics and develop materials. Activities of the workstreams report to the Steering Committee.</w:t>
      </w:r>
      <w:r w:rsidR="00F40255" w:rsidRPr="00153D5A">
        <w:rPr>
          <w:sz w:val="22"/>
          <w:szCs w:val="22"/>
        </w:rPr>
        <w:t xml:space="preserve"> </w:t>
      </w:r>
    </w:p>
    <w:p w14:paraId="685E901D" w14:textId="05DD8AD0" w:rsidR="00F40255" w:rsidRPr="00153D5A" w:rsidRDefault="00F40255" w:rsidP="00CE3446">
      <w:pPr>
        <w:pStyle w:val="ListBullet"/>
        <w:numPr>
          <w:ilvl w:val="0"/>
          <w:numId w:val="0"/>
        </w:numPr>
        <w:jc w:val="both"/>
        <w:rPr>
          <w:sz w:val="22"/>
          <w:szCs w:val="22"/>
        </w:rPr>
      </w:pPr>
    </w:p>
    <w:p w14:paraId="0ECBA538" w14:textId="5B4C0D20" w:rsidR="007733A9" w:rsidRPr="00153D5A" w:rsidRDefault="007733A9" w:rsidP="00CE3446">
      <w:pPr>
        <w:pStyle w:val="Heading1"/>
        <w:jc w:val="both"/>
        <w:rPr>
          <w:sz w:val="22"/>
          <w:szCs w:val="22"/>
        </w:rPr>
      </w:pPr>
      <w:r w:rsidRPr="00153D5A">
        <w:rPr>
          <w:sz w:val="22"/>
          <w:szCs w:val="22"/>
        </w:rPr>
        <w:t xml:space="preserve">Article </w:t>
      </w:r>
      <w:r w:rsidR="00F01C56" w:rsidRPr="00153D5A">
        <w:rPr>
          <w:sz w:val="22"/>
          <w:szCs w:val="22"/>
        </w:rPr>
        <w:t>4</w:t>
      </w:r>
      <w:r w:rsidRPr="00153D5A">
        <w:rPr>
          <w:sz w:val="22"/>
          <w:szCs w:val="22"/>
        </w:rPr>
        <w:t xml:space="preserve">. </w:t>
      </w:r>
      <w:r w:rsidR="00AD7476" w:rsidRPr="00153D5A">
        <w:rPr>
          <w:sz w:val="22"/>
          <w:szCs w:val="22"/>
        </w:rPr>
        <w:t>Communications</w:t>
      </w:r>
    </w:p>
    <w:p w14:paraId="358E1269" w14:textId="0FA07864" w:rsidR="00A25065" w:rsidRPr="00153D5A" w:rsidRDefault="00A25065" w:rsidP="00CE3446">
      <w:pPr>
        <w:pStyle w:val="Heading2"/>
        <w:jc w:val="both"/>
        <w:rPr>
          <w:sz w:val="22"/>
          <w:szCs w:val="22"/>
        </w:rPr>
      </w:pPr>
      <w:r w:rsidRPr="00153D5A">
        <w:rPr>
          <w:sz w:val="22"/>
          <w:szCs w:val="22"/>
        </w:rPr>
        <w:t>Section 1. Public communications</w:t>
      </w:r>
    </w:p>
    <w:p w14:paraId="26652169" w14:textId="0AF74452" w:rsidR="00A25065" w:rsidRPr="00153D5A" w:rsidRDefault="00A25065" w:rsidP="00CE3446">
      <w:pPr>
        <w:jc w:val="both"/>
        <w:rPr>
          <w:sz w:val="22"/>
          <w:szCs w:val="22"/>
        </w:rPr>
      </w:pPr>
      <w:r w:rsidRPr="00153D5A">
        <w:rPr>
          <w:sz w:val="22"/>
          <w:szCs w:val="22"/>
        </w:rPr>
        <w:t xml:space="preserve">Views given by Open Pharma are those of </w:t>
      </w:r>
      <w:r w:rsidR="00DB6B49" w:rsidRPr="00153D5A">
        <w:rPr>
          <w:sz w:val="22"/>
          <w:szCs w:val="22"/>
        </w:rPr>
        <w:t>Open Pharma as an organization, not necessarily</w:t>
      </w:r>
      <w:r w:rsidR="00742575">
        <w:rPr>
          <w:sz w:val="22"/>
          <w:szCs w:val="22"/>
        </w:rPr>
        <w:t xml:space="preserve"> those of</w:t>
      </w:r>
      <w:r w:rsidR="00DB6B49" w:rsidRPr="00153D5A">
        <w:rPr>
          <w:sz w:val="22"/>
          <w:szCs w:val="22"/>
        </w:rPr>
        <w:t xml:space="preserve"> the individuals within it</w:t>
      </w:r>
      <w:r w:rsidR="00FB6CFF">
        <w:rPr>
          <w:sz w:val="22"/>
          <w:szCs w:val="22"/>
        </w:rPr>
        <w:t xml:space="preserve"> or the companies they represent</w:t>
      </w:r>
      <w:r w:rsidRPr="00153D5A">
        <w:rPr>
          <w:sz w:val="22"/>
          <w:szCs w:val="22"/>
        </w:rPr>
        <w:t xml:space="preserve">. </w:t>
      </w:r>
      <w:r w:rsidR="00DB6B49" w:rsidRPr="00153D5A">
        <w:rPr>
          <w:sz w:val="22"/>
          <w:szCs w:val="22"/>
        </w:rPr>
        <w:t>Any views associated with named individuals</w:t>
      </w:r>
      <w:r w:rsidR="00C01AFA" w:rsidRPr="00153D5A">
        <w:rPr>
          <w:sz w:val="22"/>
          <w:szCs w:val="22"/>
        </w:rPr>
        <w:t>,</w:t>
      </w:r>
      <w:r w:rsidRPr="00153D5A">
        <w:rPr>
          <w:sz w:val="22"/>
          <w:szCs w:val="22"/>
        </w:rPr>
        <w:t xml:space="preserve"> companies or organi</w:t>
      </w:r>
      <w:r w:rsidR="00F749AF" w:rsidRPr="00153D5A">
        <w:rPr>
          <w:sz w:val="22"/>
          <w:szCs w:val="22"/>
        </w:rPr>
        <w:t>z</w:t>
      </w:r>
      <w:r w:rsidRPr="00153D5A">
        <w:rPr>
          <w:sz w:val="22"/>
          <w:szCs w:val="22"/>
        </w:rPr>
        <w:t xml:space="preserve">ations </w:t>
      </w:r>
      <w:r w:rsidR="00390820" w:rsidRPr="00153D5A">
        <w:rPr>
          <w:sz w:val="22"/>
          <w:szCs w:val="22"/>
        </w:rPr>
        <w:t xml:space="preserve">will only be </w:t>
      </w:r>
      <w:r w:rsidR="00C01AFA" w:rsidRPr="00153D5A">
        <w:rPr>
          <w:sz w:val="22"/>
          <w:szCs w:val="22"/>
        </w:rPr>
        <w:t>s</w:t>
      </w:r>
      <w:r w:rsidR="00390820" w:rsidRPr="00153D5A">
        <w:rPr>
          <w:sz w:val="22"/>
          <w:szCs w:val="22"/>
        </w:rPr>
        <w:t xml:space="preserve">hared with </w:t>
      </w:r>
      <w:r w:rsidR="00C01AFA" w:rsidRPr="00153D5A">
        <w:rPr>
          <w:sz w:val="22"/>
          <w:szCs w:val="22"/>
        </w:rPr>
        <w:t xml:space="preserve">their </w:t>
      </w:r>
      <w:r w:rsidR="00390820" w:rsidRPr="00153D5A">
        <w:rPr>
          <w:sz w:val="22"/>
          <w:szCs w:val="22"/>
        </w:rPr>
        <w:t>explicit consent</w:t>
      </w:r>
      <w:r w:rsidR="00C01AFA" w:rsidRPr="00153D5A">
        <w:rPr>
          <w:sz w:val="22"/>
          <w:szCs w:val="22"/>
        </w:rPr>
        <w:t xml:space="preserve">. Obtaining </w:t>
      </w:r>
      <w:r w:rsidR="00A85BF1" w:rsidRPr="00153D5A">
        <w:rPr>
          <w:sz w:val="22"/>
          <w:szCs w:val="22"/>
        </w:rPr>
        <w:t xml:space="preserve">authorization </w:t>
      </w:r>
      <w:r w:rsidR="00390820" w:rsidRPr="00153D5A">
        <w:rPr>
          <w:sz w:val="22"/>
          <w:szCs w:val="22"/>
        </w:rPr>
        <w:t>via</w:t>
      </w:r>
      <w:r w:rsidRPr="00153D5A">
        <w:rPr>
          <w:sz w:val="22"/>
          <w:szCs w:val="22"/>
        </w:rPr>
        <w:t xml:space="preserve"> the correct internal company or organi</w:t>
      </w:r>
      <w:r w:rsidR="00C01AFA" w:rsidRPr="00153D5A">
        <w:rPr>
          <w:sz w:val="22"/>
          <w:szCs w:val="22"/>
        </w:rPr>
        <w:t>z</w:t>
      </w:r>
      <w:r w:rsidRPr="00153D5A">
        <w:rPr>
          <w:sz w:val="22"/>
          <w:szCs w:val="22"/>
        </w:rPr>
        <w:t>ation</w:t>
      </w:r>
      <w:r w:rsidR="00390820" w:rsidRPr="00153D5A">
        <w:rPr>
          <w:sz w:val="22"/>
          <w:szCs w:val="22"/>
        </w:rPr>
        <w:t>al</w:t>
      </w:r>
      <w:r w:rsidRPr="00153D5A">
        <w:rPr>
          <w:sz w:val="22"/>
          <w:szCs w:val="22"/>
        </w:rPr>
        <w:t xml:space="preserve"> processes</w:t>
      </w:r>
      <w:r w:rsidR="00C01AFA" w:rsidRPr="00153D5A">
        <w:rPr>
          <w:sz w:val="22"/>
          <w:szCs w:val="22"/>
        </w:rPr>
        <w:t xml:space="preserve"> is the responsibility of participants, not</w:t>
      </w:r>
      <w:r w:rsidR="005D0049">
        <w:rPr>
          <w:sz w:val="22"/>
          <w:szCs w:val="22"/>
        </w:rPr>
        <w:t xml:space="preserve"> of</w:t>
      </w:r>
      <w:r w:rsidR="00C01AFA" w:rsidRPr="00153D5A">
        <w:rPr>
          <w:sz w:val="22"/>
          <w:szCs w:val="22"/>
        </w:rPr>
        <w:t xml:space="preserve"> Open Pharma</w:t>
      </w:r>
      <w:r w:rsidRPr="00153D5A">
        <w:rPr>
          <w:sz w:val="22"/>
          <w:szCs w:val="22"/>
        </w:rPr>
        <w:t xml:space="preserve">. </w:t>
      </w:r>
      <w:r w:rsidR="00B138CF" w:rsidRPr="00153D5A">
        <w:rPr>
          <w:sz w:val="22"/>
          <w:szCs w:val="22"/>
        </w:rPr>
        <w:t>Open Pharma excludes liability in full for failure by any participant to secure the necessary consents.</w:t>
      </w:r>
    </w:p>
    <w:p w14:paraId="51EF0D38" w14:textId="77777777" w:rsidR="00CE3446" w:rsidRPr="00153D5A" w:rsidRDefault="00CE3446" w:rsidP="00CE3446">
      <w:pPr>
        <w:jc w:val="both"/>
        <w:rPr>
          <w:sz w:val="22"/>
          <w:szCs w:val="22"/>
        </w:rPr>
      </w:pPr>
    </w:p>
    <w:p w14:paraId="32C76C21" w14:textId="6665A55C" w:rsidR="00AB7653" w:rsidRDefault="00AB7653" w:rsidP="00CE3446">
      <w:pPr>
        <w:jc w:val="both"/>
        <w:rPr>
          <w:sz w:val="22"/>
          <w:szCs w:val="22"/>
        </w:rPr>
      </w:pPr>
      <w:r w:rsidRPr="00153D5A">
        <w:rPr>
          <w:sz w:val="22"/>
          <w:szCs w:val="22"/>
        </w:rPr>
        <w:t xml:space="preserve">Funding companies will be named on the Open Pharma website and other materials as appropriate, for transparency. Companies </w:t>
      </w:r>
      <w:r w:rsidR="004A53E6" w:rsidRPr="00153D5A">
        <w:rPr>
          <w:sz w:val="22"/>
          <w:szCs w:val="22"/>
        </w:rPr>
        <w:t xml:space="preserve">are responsible for obtaining </w:t>
      </w:r>
      <w:r w:rsidR="00B138CF" w:rsidRPr="00153D5A">
        <w:rPr>
          <w:sz w:val="22"/>
          <w:szCs w:val="22"/>
        </w:rPr>
        <w:t>al</w:t>
      </w:r>
      <w:r w:rsidR="00CE3446" w:rsidRPr="00153D5A">
        <w:rPr>
          <w:sz w:val="22"/>
          <w:szCs w:val="22"/>
        </w:rPr>
        <w:t>l</w:t>
      </w:r>
      <w:r w:rsidR="00B138CF" w:rsidRPr="00153D5A">
        <w:rPr>
          <w:sz w:val="22"/>
          <w:szCs w:val="22"/>
        </w:rPr>
        <w:t xml:space="preserve"> appropriate licences and consents</w:t>
      </w:r>
      <w:r w:rsidR="004A53E6" w:rsidRPr="00153D5A">
        <w:rPr>
          <w:sz w:val="22"/>
          <w:szCs w:val="22"/>
        </w:rPr>
        <w:t xml:space="preserve"> for use of </w:t>
      </w:r>
      <w:r w:rsidRPr="00153D5A">
        <w:rPr>
          <w:sz w:val="22"/>
          <w:szCs w:val="22"/>
        </w:rPr>
        <w:lastRenderedPageBreak/>
        <w:t>their logo</w:t>
      </w:r>
      <w:r w:rsidR="004A53E6" w:rsidRPr="00153D5A">
        <w:rPr>
          <w:sz w:val="22"/>
          <w:szCs w:val="22"/>
        </w:rPr>
        <w:t>s</w:t>
      </w:r>
      <w:r w:rsidR="00B138CF" w:rsidRPr="00153D5A">
        <w:rPr>
          <w:sz w:val="22"/>
          <w:szCs w:val="22"/>
        </w:rPr>
        <w:t xml:space="preserve"> and intellectual property</w:t>
      </w:r>
      <w:r w:rsidRPr="00153D5A">
        <w:rPr>
          <w:sz w:val="22"/>
          <w:szCs w:val="22"/>
        </w:rPr>
        <w:t xml:space="preserve"> in this context</w:t>
      </w:r>
      <w:r w:rsidR="004A53E6" w:rsidRPr="00153D5A">
        <w:rPr>
          <w:sz w:val="22"/>
          <w:szCs w:val="22"/>
        </w:rPr>
        <w:t>. Logos will not be associated with specific statements or used in a promotional capacity.</w:t>
      </w:r>
      <w:r w:rsidRPr="00153D5A">
        <w:rPr>
          <w:sz w:val="22"/>
          <w:szCs w:val="22"/>
        </w:rPr>
        <w:t xml:space="preserve"> </w:t>
      </w:r>
      <w:r w:rsidR="004A53E6" w:rsidRPr="00153D5A">
        <w:rPr>
          <w:sz w:val="22"/>
          <w:szCs w:val="22"/>
        </w:rPr>
        <w:t>Funding amounts will not be specified.</w:t>
      </w:r>
    </w:p>
    <w:p w14:paraId="7822B1DE" w14:textId="77777777" w:rsidR="00E777ED" w:rsidRPr="00153D5A" w:rsidRDefault="00E777ED" w:rsidP="00CE3446">
      <w:pPr>
        <w:jc w:val="both"/>
        <w:rPr>
          <w:sz w:val="22"/>
          <w:szCs w:val="22"/>
        </w:rPr>
      </w:pPr>
    </w:p>
    <w:p w14:paraId="1C1591A9" w14:textId="1A376028" w:rsidR="007733A9" w:rsidRPr="00153D5A" w:rsidRDefault="007733A9" w:rsidP="00CE3446">
      <w:pPr>
        <w:pStyle w:val="Heading2"/>
        <w:jc w:val="both"/>
        <w:rPr>
          <w:sz w:val="22"/>
          <w:szCs w:val="22"/>
        </w:rPr>
      </w:pPr>
      <w:r w:rsidRPr="00153D5A">
        <w:rPr>
          <w:sz w:val="22"/>
          <w:szCs w:val="22"/>
        </w:rPr>
        <w:t xml:space="preserve">Section </w:t>
      </w:r>
      <w:r w:rsidR="00A25065" w:rsidRPr="00153D5A">
        <w:rPr>
          <w:sz w:val="22"/>
          <w:szCs w:val="22"/>
        </w:rPr>
        <w:t>2</w:t>
      </w:r>
      <w:r w:rsidRPr="00153D5A">
        <w:rPr>
          <w:sz w:val="22"/>
          <w:szCs w:val="22"/>
        </w:rPr>
        <w:t>. Notices</w:t>
      </w:r>
    </w:p>
    <w:p w14:paraId="0281AF61" w14:textId="22234AC6" w:rsidR="007733A9" w:rsidRPr="00153D5A" w:rsidRDefault="00356A4E" w:rsidP="00CE3446">
      <w:pPr>
        <w:jc w:val="both"/>
        <w:rPr>
          <w:sz w:val="22"/>
          <w:szCs w:val="22"/>
        </w:rPr>
      </w:pPr>
      <w:r w:rsidRPr="00153D5A">
        <w:rPr>
          <w:sz w:val="22"/>
          <w:szCs w:val="22"/>
        </w:rPr>
        <w:t>Participants will be notified of developments relevant to them</w:t>
      </w:r>
      <w:r w:rsidR="001D20F4">
        <w:rPr>
          <w:sz w:val="22"/>
          <w:szCs w:val="22"/>
        </w:rPr>
        <w:t xml:space="preserve"> by email</w:t>
      </w:r>
      <w:r w:rsidRPr="00153D5A">
        <w:rPr>
          <w:sz w:val="22"/>
          <w:szCs w:val="22"/>
        </w:rPr>
        <w:t xml:space="preserve">. Personal </w:t>
      </w:r>
      <w:r w:rsidR="00C01AFA" w:rsidRPr="00153D5A">
        <w:rPr>
          <w:sz w:val="22"/>
          <w:szCs w:val="22"/>
        </w:rPr>
        <w:t xml:space="preserve">contact </w:t>
      </w:r>
      <w:r w:rsidRPr="00153D5A">
        <w:rPr>
          <w:sz w:val="22"/>
          <w:szCs w:val="22"/>
        </w:rPr>
        <w:t>details</w:t>
      </w:r>
      <w:r w:rsidR="00C01AFA" w:rsidRPr="00153D5A">
        <w:rPr>
          <w:sz w:val="22"/>
          <w:szCs w:val="22"/>
        </w:rPr>
        <w:t xml:space="preserve"> </w:t>
      </w:r>
      <w:r w:rsidRPr="00153D5A">
        <w:rPr>
          <w:sz w:val="22"/>
          <w:szCs w:val="22"/>
        </w:rPr>
        <w:t>are retained</w:t>
      </w:r>
      <w:r w:rsidR="001D20F4">
        <w:rPr>
          <w:sz w:val="22"/>
          <w:szCs w:val="22"/>
        </w:rPr>
        <w:t>,</w:t>
      </w:r>
      <w:r w:rsidRPr="00153D5A">
        <w:rPr>
          <w:sz w:val="22"/>
          <w:szCs w:val="22"/>
        </w:rPr>
        <w:t xml:space="preserve"> for this purpose</w:t>
      </w:r>
      <w:r w:rsidR="001D20F4">
        <w:rPr>
          <w:sz w:val="22"/>
          <w:szCs w:val="22"/>
        </w:rPr>
        <w:t>,</w:t>
      </w:r>
      <w:r w:rsidRPr="00153D5A">
        <w:rPr>
          <w:sz w:val="22"/>
          <w:szCs w:val="22"/>
        </w:rPr>
        <w:t xml:space="preserve"> on a secure server and are not accessible to anyone outside the project team.</w:t>
      </w:r>
      <w:r w:rsidR="00A25065" w:rsidRPr="00153D5A">
        <w:rPr>
          <w:sz w:val="22"/>
          <w:szCs w:val="22"/>
        </w:rPr>
        <w:t xml:space="preserve"> </w:t>
      </w:r>
      <w:r w:rsidRPr="00153D5A">
        <w:rPr>
          <w:sz w:val="22"/>
          <w:szCs w:val="22"/>
        </w:rPr>
        <w:t>Participants can opt in or out of communications at any time.</w:t>
      </w:r>
      <w:r w:rsidR="004136F2" w:rsidRPr="00153D5A">
        <w:rPr>
          <w:sz w:val="22"/>
          <w:szCs w:val="22"/>
        </w:rPr>
        <w:t xml:space="preserve"> Participants are encouraged to discuss relevant topics with each other </w:t>
      </w:r>
      <w:r w:rsidR="001D20F4">
        <w:rPr>
          <w:sz w:val="22"/>
          <w:szCs w:val="22"/>
        </w:rPr>
        <w:t>through</w:t>
      </w:r>
      <w:r w:rsidR="004136F2" w:rsidRPr="00153D5A">
        <w:rPr>
          <w:sz w:val="22"/>
          <w:szCs w:val="22"/>
        </w:rPr>
        <w:t xml:space="preserve"> email</w:t>
      </w:r>
      <w:r w:rsidR="001D20F4">
        <w:rPr>
          <w:sz w:val="22"/>
          <w:szCs w:val="22"/>
        </w:rPr>
        <w:t>.</w:t>
      </w:r>
      <w:r w:rsidR="004136F2" w:rsidRPr="00153D5A">
        <w:rPr>
          <w:sz w:val="22"/>
          <w:szCs w:val="22"/>
        </w:rPr>
        <w:t xml:space="preserve"> </w:t>
      </w:r>
      <w:r w:rsidR="001D20F4">
        <w:rPr>
          <w:sz w:val="22"/>
          <w:szCs w:val="22"/>
        </w:rPr>
        <w:t>H</w:t>
      </w:r>
      <w:r w:rsidR="004136F2" w:rsidRPr="00153D5A">
        <w:rPr>
          <w:sz w:val="22"/>
          <w:szCs w:val="22"/>
        </w:rPr>
        <w:t>owever</w:t>
      </w:r>
      <w:r w:rsidR="004A53E6" w:rsidRPr="00153D5A">
        <w:rPr>
          <w:sz w:val="22"/>
          <w:szCs w:val="22"/>
        </w:rPr>
        <w:t>,</w:t>
      </w:r>
      <w:r w:rsidR="004136F2" w:rsidRPr="00153D5A">
        <w:rPr>
          <w:sz w:val="22"/>
          <w:szCs w:val="22"/>
        </w:rPr>
        <w:t xml:space="preserve"> </w:t>
      </w:r>
      <w:r w:rsidR="001D20F4">
        <w:rPr>
          <w:sz w:val="22"/>
          <w:szCs w:val="22"/>
        </w:rPr>
        <w:t>owing to</w:t>
      </w:r>
      <w:r w:rsidR="001D20F4" w:rsidRPr="00153D5A">
        <w:rPr>
          <w:sz w:val="22"/>
          <w:szCs w:val="22"/>
        </w:rPr>
        <w:t xml:space="preserve"> </w:t>
      </w:r>
      <w:r w:rsidR="001D20F4">
        <w:rPr>
          <w:sz w:val="22"/>
          <w:szCs w:val="22"/>
        </w:rPr>
        <w:t>the</w:t>
      </w:r>
      <w:r w:rsidR="004136F2" w:rsidRPr="00153D5A">
        <w:rPr>
          <w:sz w:val="22"/>
          <w:szCs w:val="22"/>
        </w:rPr>
        <w:t xml:space="preserve"> </w:t>
      </w:r>
      <w:r w:rsidR="001D20F4">
        <w:rPr>
          <w:sz w:val="22"/>
          <w:szCs w:val="22"/>
        </w:rPr>
        <w:t>long</w:t>
      </w:r>
      <w:r w:rsidR="004136F2" w:rsidRPr="00153D5A">
        <w:rPr>
          <w:sz w:val="22"/>
          <w:szCs w:val="22"/>
        </w:rPr>
        <w:t xml:space="preserve"> and growing list of participants and different groups involved in </w:t>
      </w:r>
      <w:r w:rsidR="001D20F4">
        <w:rPr>
          <w:sz w:val="22"/>
          <w:szCs w:val="22"/>
        </w:rPr>
        <w:t>various</w:t>
      </w:r>
      <w:r w:rsidR="004136F2" w:rsidRPr="00153D5A">
        <w:rPr>
          <w:sz w:val="22"/>
          <w:szCs w:val="22"/>
        </w:rPr>
        <w:t xml:space="preserve"> activities, participants are not encouraged to use the full set of email addresses for Open Pharma as a basis for starting new conversations</w:t>
      </w:r>
      <w:r w:rsidR="001D20F4">
        <w:rPr>
          <w:sz w:val="22"/>
          <w:szCs w:val="22"/>
        </w:rPr>
        <w:t>,</w:t>
      </w:r>
      <w:r w:rsidR="004136F2" w:rsidRPr="00153D5A">
        <w:rPr>
          <w:sz w:val="22"/>
          <w:szCs w:val="22"/>
        </w:rPr>
        <w:t xml:space="preserve"> unless the topic is directly relevant to the whole group.</w:t>
      </w:r>
    </w:p>
    <w:p w14:paraId="4431CB71" w14:textId="77777777" w:rsidR="00601E38" w:rsidRPr="00153D5A" w:rsidRDefault="00601E38" w:rsidP="00CE3446">
      <w:pPr>
        <w:jc w:val="both"/>
        <w:rPr>
          <w:sz w:val="22"/>
          <w:szCs w:val="22"/>
        </w:rPr>
      </w:pPr>
    </w:p>
    <w:p w14:paraId="45569887" w14:textId="3EF84753" w:rsidR="007733A9" w:rsidRPr="00153D5A" w:rsidRDefault="007733A9" w:rsidP="00CE3446">
      <w:pPr>
        <w:pStyle w:val="Heading2"/>
        <w:jc w:val="both"/>
        <w:rPr>
          <w:sz w:val="22"/>
          <w:szCs w:val="22"/>
        </w:rPr>
      </w:pPr>
      <w:r w:rsidRPr="00153D5A">
        <w:rPr>
          <w:sz w:val="22"/>
          <w:szCs w:val="22"/>
        </w:rPr>
        <w:t xml:space="preserve">Section </w:t>
      </w:r>
      <w:r w:rsidR="00A25065" w:rsidRPr="00153D5A">
        <w:rPr>
          <w:sz w:val="22"/>
          <w:szCs w:val="22"/>
        </w:rPr>
        <w:t>3</w:t>
      </w:r>
      <w:r w:rsidRPr="00153D5A">
        <w:rPr>
          <w:sz w:val="22"/>
          <w:szCs w:val="22"/>
        </w:rPr>
        <w:t xml:space="preserve">. </w:t>
      </w:r>
      <w:r w:rsidR="00356A4E" w:rsidRPr="00153D5A">
        <w:rPr>
          <w:sz w:val="22"/>
          <w:szCs w:val="22"/>
        </w:rPr>
        <w:t>Meetings</w:t>
      </w:r>
      <w:r w:rsidRPr="00153D5A">
        <w:rPr>
          <w:sz w:val="22"/>
          <w:szCs w:val="22"/>
        </w:rPr>
        <w:t xml:space="preserve"> </w:t>
      </w:r>
    </w:p>
    <w:p w14:paraId="262641CB" w14:textId="55D51A3C" w:rsidR="00F01C56" w:rsidRPr="00153D5A" w:rsidRDefault="00356A4E" w:rsidP="00CE3446">
      <w:pPr>
        <w:jc w:val="both"/>
        <w:rPr>
          <w:sz w:val="22"/>
          <w:szCs w:val="22"/>
        </w:rPr>
      </w:pPr>
      <w:r w:rsidRPr="00153D5A">
        <w:rPr>
          <w:sz w:val="22"/>
          <w:szCs w:val="22"/>
        </w:rPr>
        <w:t>Virtual and face-to-face meetings are held as needed by the project or called by participants. Whe</w:t>
      </w:r>
      <w:r w:rsidR="00F44AE4">
        <w:rPr>
          <w:sz w:val="22"/>
          <w:szCs w:val="22"/>
        </w:rPr>
        <w:t>n</w:t>
      </w:r>
      <w:r w:rsidRPr="00153D5A">
        <w:rPr>
          <w:sz w:val="22"/>
          <w:szCs w:val="22"/>
        </w:rPr>
        <w:t xml:space="preserve"> participants are not available to take part, they are encouraged to provide their input by email, </w:t>
      </w:r>
      <w:r w:rsidR="004C72CC">
        <w:rPr>
          <w:sz w:val="22"/>
          <w:szCs w:val="22"/>
        </w:rPr>
        <w:t>tele</w:t>
      </w:r>
      <w:r w:rsidRPr="00153D5A">
        <w:rPr>
          <w:sz w:val="22"/>
          <w:szCs w:val="22"/>
        </w:rPr>
        <w:t xml:space="preserve">phone or other methods in advance. </w:t>
      </w:r>
    </w:p>
    <w:p w14:paraId="24B6DEEA" w14:textId="77777777" w:rsidR="00601E38" w:rsidRPr="00153D5A" w:rsidRDefault="00601E38" w:rsidP="00CE3446">
      <w:pPr>
        <w:jc w:val="both"/>
        <w:rPr>
          <w:sz w:val="22"/>
          <w:szCs w:val="22"/>
        </w:rPr>
      </w:pPr>
    </w:p>
    <w:p w14:paraId="16928C81" w14:textId="6B5C5CE4" w:rsidR="00F01C56" w:rsidRPr="00153D5A" w:rsidRDefault="00F01C56" w:rsidP="00CE3446">
      <w:pPr>
        <w:pStyle w:val="Heading2"/>
        <w:jc w:val="both"/>
        <w:rPr>
          <w:sz w:val="22"/>
          <w:szCs w:val="22"/>
        </w:rPr>
      </w:pPr>
      <w:r w:rsidRPr="00153D5A">
        <w:rPr>
          <w:sz w:val="22"/>
          <w:szCs w:val="22"/>
        </w:rPr>
        <w:t xml:space="preserve">Section </w:t>
      </w:r>
      <w:r w:rsidR="00A25065" w:rsidRPr="00153D5A">
        <w:rPr>
          <w:sz w:val="22"/>
          <w:szCs w:val="22"/>
        </w:rPr>
        <w:t>4</w:t>
      </w:r>
      <w:r w:rsidRPr="00153D5A">
        <w:rPr>
          <w:sz w:val="22"/>
          <w:szCs w:val="22"/>
        </w:rPr>
        <w:t>. Records</w:t>
      </w:r>
    </w:p>
    <w:p w14:paraId="16CB7E99" w14:textId="299F5011" w:rsidR="00F01C56" w:rsidRPr="00153D5A" w:rsidRDefault="00BE6D7F" w:rsidP="00CE3446">
      <w:pPr>
        <w:jc w:val="both"/>
        <w:rPr>
          <w:sz w:val="22"/>
          <w:szCs w:val="22"/>
        </w:rPr>
      </w:pPr>
      <w:r w:rsidRPr="00153D5A">
        <w:rPr>
          <w:sz w:val="22"/>
          <w:szCs w:val="22"/>
        </w:rPr>
        <w:t>Internal Open Pharma meetings</w:t>
      </w:r>
      <w:r w:rsidR="00356A4E" w:rsidRPr="00153D5A">
        <w:rPr>
          <w:sz w:val="22"/>
          <w:szCs w:val="22"/>
        </w:rPr>
        <w:t xml:space="preserve"> will be </w:t>
      </w:r>
      <w:proofErr w:type="spellStart"/>
      <w:r w:rsidR="00356A4E" w:rsidRPr="00153D5A">
        <w:rPr>
          <w:sz w:val="22"/>
          <w:szCs w:val="22"/>
        </w:rPr>
        <w:t>minuted</w:t>
      </w:r>
      <w:proofErr w:type="spellEnd"/>
      <w:r w:rsidR="00356A4E" w:rsidRPr="00153D5A">
        <w:rPr>
          <w:sz w:val="22"/>
          <w:szCs w:val="22"/>
        </w:rPr>
        <w:t xml:space="preserve"> under</w:t>
      </w:r>
      <w:r w:rsidRPr="00153D5A">
        <w:rPr>
          <w:sz w:val="22"/>
          <w:szCs w:val="22"/>
        </w:rPr>
        <w:t xml:space="preserve"> an adaptation of</w:t>
      </w:r>
      <w:r w:rsidR="00356A4E" w:rsidRPr="00153D5A">
        <w:rPr>
          <w:sz w:val="22"/>
          <w:szCs w:val="22"/>
        </w:rPr>
        <w:t xml:space="preserve"> </w:t>
      </w:r>
      <w:r w:rsidRPr="00153D5A">
        <w:rPr>
          <w:sz w:val="22"/>
          <w:szCs w:val="22"/>
        </w:rPr>
        <w:t xml:space="preserve">the </w:t>
      </w:r>
      <w:r w:rsidR="00356A4E" w:rsidRPr="00153D5A">
        <w:rPr>
          <w:sz w:val="22"/>
          <w:szCs w:val="22"/>
        </w:rPr>
        <w:t xml:space="preserve">Chatham House </w:t>
      </w:r>
      <w:r w:rsidR="00AB269F">
        <w:rPr>
          <w:sz w:val="22"/>
          <w:szCs w:val="22"/>
        </w:rPr>
        <w:t>R</w:t>
      </w:r>
      <w:r w:rsidR="00356A4E" w:rsidRPr="00153D5A">
        <w:rPr>
          <w:sz w:val="22"/>
          <w:szCs w:val="22"/>
        </w:rPr>
        <w:t>ule</w:t>
      </w:r>
      <w:r w:rsidRPr="00153D5A">
        <w:rPr>
          <w:sz w:val="22"/>
          <w:szCs w:val="22"/>
        </w:rPr>
        <w:t>:</w:t>
      </w:r>
      <w:r w:rsidR="00356A4E" w:rsidRPr="00153D5A">
        <w:rPr>
          <w:sz w:val="22"/>
          <w:szCs w:val="22"/>
        </w:rPr>
        <w:t xml:space="preserve"> </w:t>
      </w:r>
      <w:r w:rsidRPr="00153D5A">
        <w:rPr>
          <w:sz w:val="22"/>
          <w:szCs w:val="22"/>
        </w:rPr>
        <w:t xml:space="preserve">participants are free to use the information received, and verbatim quotes recorded, but neither the identity nor the affiliation of the speaker </w:t>
      </w:r>
      <w:r w:rsidR="00B138CF" w:rsidRPr="00153D5A">
        <w:rPr>
          <w:sz w:val="22"/>
          <w:szCs w:val="22"/>
        </w:rPr>
        <w:t>will</w:t>
      </w:r>
      <w:r w:rsidRPr="00153D5A">
        <w:rPr>
          <w:sz w:val="22"/>
          <w:szCs w:val="22"/>
        </w:rPr>
        <w:t xml:space="preserve"> be revealed</w:t>
      </w:r>
      <w:r w:rsidR="00AB269F">
        <w:rPr>
          <w:sz w:val="22"/>
          <w:szCs w:val="22"/>
        </w:rPr>
        <w:t>.</w:t>
      </w:r>
      <w:r w:rsidRPr="00153D5A">
        <w:rPr>
          <w:sz w:val="22"/>
          <w:szCs w:val="22"/>
        </w:rPr>
        <w:t xml:space="preserve"> </w:t>
      </w:r>
      <w:r w:rsidR="00AB269F">
        <w:rPr>
          <w:sz w:val="22"/>
          <w:szCs w:val="22"/>
        </w:rPr>
        <w:t>H</w:t>
      </w:r>
      <w:r w:rsidRPr="00153D5A">
        <w:rPr>
          <w:sz w:val="22"/>
          <w:szCs w:val="22"/>
        </w:rPr>
        <w:t xml:space="preserve">owever, identities of participants at meetings will be recorded for the internal minutes. Minutes of specific meetings may be developed for public posting, and </w:t>
      </w:r>
      <w:r w:rsidR="00A85BF1" w:rsidRPr="00153D5A">
        <w:rPr>
          <w:sz w:val="22"/>
          <w:szCs w:val="22"/>
        </w:rPr>
        <w:t xml:space="preserve">the </w:t>
      </w:r>
      <w:r w:rsidRPr="00153D5A">
        <w:rPr>
          <w:sz w:val="22"/>
          <w:szCs w:val="22"/>
        </w:rPr>
        <w:t>identities of participants will be reported</w:t>
      </w:r>
      <w:r w:rsidR="00AA00A9" w:rsidRPr="00153D5A">
        <w:rPr>
          <w:sz w:val="22"/>
          <w:szCs w:val="22"/>
        </w:rPr>
        <w:t xml:space="preserve"> upon the approval of those named</w:t>
      </w:r>
      <w:r w:rsidRPr="00153D5A">
        <w:rPr>
          <w:sz w:val="22"/>
          <w:szCs w:val="22"/>
        </w:rPr>
        <w:t>.</w:t>
      </w:r>
      <w:r w:rsidR="00AB269F">
        <w:rPr>
          <w:sz w:val="22"/>
          <w:szCs w:val="22"/>
        </w:rPr>
        <w:t xml:space="preserve"> </w:t>
      </w:r>
      <w:r w:rsidR="00F01C56" w:rsidRPr="00153D5A">
        <w:rPr>
          <w:sz w:val="22"/>
          <w:szCs w:val="22"/>
        </w:rPr>
        <w:t>Data and materials provided by participants may be shared freely within the group</w:t>
      </w:r>
      <w:r w:rsidR="00AB269F">
        <w:rPr>
          <w:sz w:val="22"/>
          <w:szCs w:val="22"/>
        </w:rPr>
        <w:t>;</w:t>
      </w:r>
      <w:r w:rsidR="00F01C56" w:rsidRPr="00153D5A">
        <w:rPr>
          <w:sz w:val="22"/>
          <w:szCs w:val="22"/>
        </w:rPr>
        <w:t xml:space="preserve"> </w:t>
      </w:r>
      <w:r w:rsidR="00AA00A9" w:rsidRPr="00153D5A">
        <w:rPr>
          <w:sz w:val="22"/>
          <w:szCs w:val="22"/>
        </w:rPr>
        <w:t xml:space="preserve">however, </w:t>
      </w:r>
      <w:r w:rsidR="00F01C56" w:rsidRPr="00153D5A">
        <w:rPr>
          <w:sz w:val="22"/>
          <w:szCs w:val="22"/>
        </w:rPr>
        <w:t>unless permission has been explicitly given to do so</w:t>
      </w:r>
      <w:r w:rsidR="00AA00A9" w:rsidRPr="00153D5A">
        <w:rPr>
          <w:sz w:val="22"/>
          <w:szCs w:val="22"/>
        </w:rPr>
        <w:t>, they should not be distributed more broadly</w:t>
      </w:r>
      <w:r w:rsidR="00F01C56" w:rsidRPr="00153D5A">
        <w:rPr>
          <w:sz w:val="22"/>
          <w:szCs w:val="22"/>
        </w:rPr>
        <w:t>.</w:t>
      </w:r>
    </w:p>
    <w:p w14:paraId="17C46C15" w14:textId="77777777" w:rsidR="00601E38" w:rsidRPr="00153D5A" w:rsidRDefault="00601E38" w:rsidP="00CE3446">
      <w:pPr>
        <w:jc w:val="both"/>
        <w:rPr>
          <w:sz w:val="22"/>
          <w:szCs w:val="22"/>
        </w:rPr>
      </w:pPr>
    </w:p>
    <w:p w14:paraId="65731374" w14:textId="5FCF683A" w:rsidR="004A56CE" w:rsidRPr="00153D5A" w:rsidRDefault="004A56CE" w:rsidP="00CE3446">
      <w:pPr>
        <w:pStyle w:val="Heading2"/>
        <w:jc w:val="both"/>
        <w:rPr>
          <w:sz w:val="22"/>
          <w:szCs w:val="22"/>
        </w:rPr>
      </w:pPr>
      <w:r w:rsidRPr="00153D5A">
        <w:rPr>
          <w:sz w:val="22"/>
          <w:szCs w:val="22"/>
        </w:rPr>
        <w:t xml:space="preserve">Section </w:t>
      </w:r>
      <w:r w:rsidR="00A25065" w:rsidRPr="00153D5A">
        <w:rPr>
          <w:sz w:val="22"/>
          <w:szCs w:val="22"/>
        </w:rPr>
        <w:t>5</w:t>
      </w:r>
      <w:r w:rsidRPr="00153D5A">
        <w:rPr>
          <w:sz w:val="22"/>
          <w:szCs w:val="22"/>
        </w:rPr>
        <w:t>. Social media</w:t>
      </w:r>
    </w:p>
    <w:p w14:paraId="0ABE4154" w14:textId="32DE60EC" w:rsidR="004A56CE" w:rsidRPr="00153D5A" w:rsidRDefault="004A56CE" w:rsidP="00CE3446">
      <w:pPr>
        <w:jc w:val="both"/>
        <w:rPr>
          <w:sz w:val="22"/>
          <w:szCs w:val="22"/>
        </w:rPr>
      </w:pPr>
      <w:r w:rsidRPr="00153D5A">
        <w:rPr>
          <w:sz w:val="22"/>
          <w:szCs w:val="22"/>
        </w:rPr>
        <w:t>The @_</w:t>
      </w:r>
      <w:proofErr w:type="spellStart"/>
      <w:r w:rsidRPr="00153D5A">
        <w:rPr>
          <w:sz w:val="22"/>
          <w:szCs w:val="22"/>
        </w:rPr>
        <w:t>OpenPharma</w:t>
      </w:r>
      <w:proofErr w:type="spellEnd"/>
      <w:r w:rsidRPr="00153D5A">
        <w:rPr>
          <w:sz w:val="22"/>
          <w:szCs w:val="22"/>
        </w:rPr>
        <w:t xml:space="preserve"> Twitter account is operated by members of the Open Pharma team at Oxford PharmaGenesis, in compliance with the company’s social media policy. No information on specific drugs will be posted or reposted. All content will be checked for editorial consistency and reputational impact </w:t>
      </w:r>
      <w:r w:rsidR="003E424D" w:rsidRPr="00153D5A">
        <w:rPr>
          <w:sz w:val="22"/>
          <w:szCs w:val="22"/>
        </w:rPr>
        <w:t xml:space="preserve">for participants in Open Pharma </w:t>
      </w:r>
      <w:r w:rsidRPr="00153D5A">
        <w:rPr>
          <w:sz w:val="22"/>
          <w:szCs w:val="22"/>
        </w:rPr>
        <w:t xml:space="preserve">before posting; however, Oxford PharmaGenesis does not </w:t>
      </w:r>
      <w:r w:rsidRPr="000A1EEE">
        <w:rPr>
          <w:sz w:val="22"/>
          <w:szCs w:val="22"/>
        </w:rPr>
        <w:t xml:space="preserve">accept liability for </w:t>
      </w:r>
      <w:r w:rsidR="005C3AC1" w:rsidRPr="000A1EEE">
        <w:rPr>
          <w:sz w:val="22"/>
          <w:szCs w:val="22"/>
        </w:rPr>
        <w:t>any damage that may occur, real or perceived</w:t>
      </w:r>
      <w:r w:rsidR="005C3AC1" w:rsidRPr="00153D5A">
        <w:rPr>
          <w:sz w:val="22"/>
          <w:szCs w:val="22"/>
        </w:rPr>
        <w:t>.</w:t>
      </w:r>
      <w:r w:rsidR="00A25065" w:rsidRPr="00153D5A">
        <w:rPr>
          <w:sz w:val="22"/>
          <w:szCs w:val="22"/>
        </w:rPr>
        <w:t xml:space="preserve"> </w:t>
      </w:r>
      <w:r w:rsidR="003E424D" w:rsidRPr="00153D5A">
        <w:rPr>
          <w:sz w:val="22"/>
          <w:szCs w:val="22"/>
        </w:rPr>
        <w:t>Once posted on @_Open Pharma,</w:t>
      </w:r>
      <w:r w:rsidR="005C3AC1" w:rsidRPr="00153D5A">
        <w:rPr>
          <w:sz w:val="22"/>
          <w:szCs w:val="22"/>
        </w:rPr>
        <w:t xml:space="preserve"> </w:t>
      </w:r>
      <w:r w:rsidR="003E424D" w:rsidRPr="00153D5A">
        <w:rPr>
          <w:sz w:val="22"/>
          <w:szCs w:val="22"/>
        </w:rPr>
        <w:t xml:space="preserve">content </w:t>
      </w:r>
      <w:r w:rsidR="005C3AC1" w:rsidRPr="00153D5A">
        <w:rPr>
          <w:sz w:val="22"/>
          <w:szCs w:val="22"/>
        </w:rPr>
        <w:t>may be shared by i</w:t>
      </w:r>
      <w:r w:rsidR="003E424D" w:rsidRPr="00153D5A">
        <w:rPr>
          <w:sz w:val="22"/>
          <w:szCs w:val="22"/>
        </w:rPr>
        <w:t>ndividuals and organi</w:t>
      </w:r>
      <w:r w:rsidR="00121880" w:rsidRPr="00153D5A">
        <w:rPr>
          <w:sz w:val="22"/>
          <w:szCs w:val="22"/>
        </w:rPr>
        <w:t>z</w:t>
      </w:r>
      <w:r w:rsidR="003E424D" w:rsidRPr="00153D5A">
        <w:rPr>
          <w:sz w:val="22"/>
          <w:szCs w:val="22"/>
        </w:rPr>
        <w:t>ations on Twitter and</w:t>
      </w:r>
      <w:r w:rsidR="005C3AC1" w:rsidRPr="00153D5A">
        <w:rPr>
          <w:sz w:val="22"/>
          <w:szCs w:val="22"/>
        </w:rPr>
        <w:t xml:space="preserve"> other social media platforms</w:t>
      </w:r>
      <w:r w:rsidR="004C72CC">
        <w:rPr>
          <w:sz w:val="22"/>
          <w:szCs w:val="22"/>
        </w:rPr>
        <w:t>,</w:t>
      </w:r>
      <w:r w:rsidR="003E424D" w:rsidRPr="00153D5A">
        <w:rPr>
          <w:sz w:val="22"/>
          <w:szCs w:val="22"/>
        </w:rPr>
        <w:t xml:space="preserve"> such as </w:t>
      </w:r>
      <w:r w:rsidR="005C3AC1" w:rsidRPr="00153D5A">
        <w:rPr>
          <w:sz w:val="22"/>
          <w:szCs w:val="22"/>
        </w:rPr>
        <w:t xml:space="preserve">LinkedIn </w:t>
      </w:r>
      <w:r w:rsidR="003E424D" w:rsidRPr="00153D5A">
        <w:rPr>
          <w:sz w:val="22"/>
          <w:szCs w:val="22"/>
        </w:rPr>
        <w:t>and Facebook, without any acceptance of liability by Oxford PharmaGenesis.</w:t>
      </w:r>
      <w:r w:rsidR="00AA00A9" w:rsidRPr="00153D5A">
        <w:rPr>
          <w:sz w:val="22"/>
          <w:szCs w:val="22"/>
        </w:rPr>
        <w:t xml:space="preserve"> Retweets by the </w:t>
      </w:r>
      <w:r w:rsidR="00066CB2" w:rsidRPr="00153D5A">
        <w:rPr>
          <w:sz w:val="22"/>
          <w:szCs w:val="22"/>
        </w:rPr>
        <w:t xml:space="preserve">Open Pharma </w:t>
      </w:r>
      <w:r w:rsidR="00AA00A9" w:rsidRPr="00153D5A">
        <w:rPr>
          <w:sz w:val="22"/>
          <w:szCs w:val="22"/>
        </w:rPr>
        <w:t xml:space="preserve">account should not be considered endorsements. </w:t>
      </w:r>
    </w:p>
    <w:p w14:paraId="3D2B38B2" w14:textId="77777777" w:rsidR="00730DAB" w:rsidRDefault="00730DAB" w:rsidP="00CE3446">
      <w:pPr>
        <w:jc w:val="both"/>
        <w:rPr>
          <w:sz w:val="22"/>
          <w:szCs w:val="22"/>
        </w:rPr>
      </w:pPr>
    </w:p>
    <w:p w14:paraId="1A9BD8AB" w14:textId="18390E23" w:rsidR="004A56CE" w:rsidRPr="00153D5A" w:rsidRDefault="004A56CE" w:rsidP="00CE3446">
      <w:pPr>
        <w:pStyle w:val="Heading2"/>
        <w:jc w:val="both"/>
        <w:rPr>
          <w:sz w:val="22"/>
          <w:szCs w:val="22"/>
        </w:rPr>
      </w:pPr>
      <w:r w:rsidRPr="00153D5A">
        <w:rPr>
          <w:sz w:val="22"/>
          <w:szCs w:val="22"/>
        </w:rPr>
        <w:t xml:space="preserve">Section </w:t>
      </w:r>
      <w:r w:rsidR="00A25065" w:rsidRPr="00153D5A">
        <w:rPr>
          <w:sz w:val="22"/>
          <w:szCs w:val="22"/>
        </w:rPr>
        <w:t>6</w:t>
      </w:r>
      <w:r w:rsidRPr="00153D5A">
        <w:rPr>
          <w:sz w:val="22"/>
          <w:szCs w:val="22"/>
        </w:rPr>
        <w:t xml:space="preserve">. Website </w:t>
      </w:r>
    </w:p>
    <w:p w14:paraId="67D3E49F" w14:textId="5FE0045E" w:rsidR="004A56CE" w:rsidRPr="00153D5A" w:rsidRDefault="003E424D" w:rsidP="00CE3446">
      <w:pPr>
        <w:jc w:val="both"/>
        <w:rPr>
          <w:sz w:val="22"/>
          <w:szCs w:val="22"/>
        </w:rPr>
      </w:pPr>
      <w:r w:rsidRPr="00153D5A">
        <w:rPr>
          <w:sz w:val="22"/>
          <w:szCs w:val="22"/>
        </w:rPr>
        <w:t xml:space="preserve">Oxford PharmaGenesis develops and maintains a public website for Open Pharma </w:t>
      </w:r>
      <w:r w:rsidR="00784DF2">
        <w:rPr>
          <w:sz w:val="22"/>
          <w:szCs w:val="22"/>
        </w:rPr>
        <w:t>(</w:t>
      </w:r>
      <w:hyperlink r:id="rId11" w:history="1">
        <w:r w:rsidR="00784DF2" w:rsidRPr="00784DF2">
          <w:rPr>
            <w:rStyle w:val="Hyperlink"/>
            <w:sz w:val="22"/>
            <w:szCs w:val="22"/>
          </w:rPr>
          <w:t>https://openpharma.blog/</w:t>
        </w:r>
      </w:hyperlink>
      <w:r w:rsidR="00784DF2">
        <w:rPr>
          <w:rStyle w:val="Hyperlink"/>
          <w:sz w:val="22"/>
          <w:szCs w:val="22"/>
        </w:rPr>
        <w:t>)</w:t>
      </w:r>
      <w:r w:rsidRPr="00153D5A">
        <w:rPr>
          <w:sz w:val="22"/>
          <w:szCs w:val="22"/>
        </w:rPr>
        <w:t xml:space="preserve">. </w:t>
      </w:r>
      <w:r w:rsidR="00743BDC">
        <w:rPr>
          <w:sz w:val="22"/>
          <w:szCs w:val="22"/>
        </w:rPr>
        <w:t>As of 2019, the</w:t>
      </w:r>
      <w:r w:rsidRPr="00153D5A">
        <w:rPr>
          <w:sz w:val="22"/>
          <w:szCs w:val="22"/>
        </w:rPr>
        <w:t xml:space="preserve"> website is hosted by WordPress </w:t>
      </w:r>
      <w:r w:rsidR="00066CB2" w:rsidRPr="00153D5A">
        <w:rPr>
          <w:sz w:val="22"/>
          <w:szCs w:val="22"/>
        </w:rPr>
        <w:t xml:space="preserve">under </w:t>
      </w:r>
      <w:r w:rsidRPr="00153D5A">
        <w:rPr>
          <w:sz w:val="22"/>
          <w:szCs w:val="22"/>
        </w:rPr>
        <w:t xml:space="preserve">a </w:t>
      </w:r>
      <w:r w:rsidR="00D54B5F" w:rsidRPr="00153D5A">
        <w:rPr>
          <w:sz w:val="22"/>
          <w:szCs w:val="22"/>
        </w:rPr>
        <w:t xml:space="preserve">WordPress </w:t>
      </w:r>
      <w:r w:rsidR="003574FF" w:rsidRPr="00153D5A">
        <w:rPr>
          <w:sz w:val="22"/>
          <w:szCs w:val="22"/>
        </w:rPr>
        <w:t>b</w:t>
      </w:r>
      <w:r w:rsidRPr="00153D5A">
        <w:rPr>
          <w:sz w:val="22"/>
          <w:szCs w:val="22"/>
        </w:rPr>
        <w:t>usiness licence</w:t>
      </w:r>
      <w:r w:rsidR="00D54B5F" w:rsidRPr="00153D5A">
        <w:rPr>
          <w:sz w:val="22"/>
          <w:szCs w:val="22"/>
        </w:rPr>
        <w:t xml:space="preserve">. Opinions on the website, as for all Open Pharma communications, reflect only the opinions of contributors rather than </w:t>
      </w:r>
      <w:r w:rsidR="004C72CC">
        <w:rPr>
          <w:sz w:val="22"/>
          <w:szCs w:val="22"/>
        </w:rPr>
        <w:t xml:space="preserve">those of </w:t>
      </w:r>
      <w:r w:rsidR="00D54B5F" w:rsidRPr="00153D5A">
        <w:rPr>
          <w:sz w:val="22"/>
          <w:szCs w:val="22"/>
        </w:rPr>
        <w:t>their organi</w:t>
      </w:r>
      <w:r w:rsidR="00121880" w:rsidRPr="00153D5A">
        <w:rPr>
          <w:sz w:val="22"/>
          <w:szCs w:val="22"/>
        </w:rPr>
        <w:t>z</w:t>
      </w:r>
      <w:r w:rsidR="00D54B5F" w:rsidRPr="00153D5A">
        <w:rPr>
          <w:sz w:val="22"/>
          <w:szCs w:val="22"/>
        </w:rPr>
        <w:t>ations, unless explicitly stated.</w:t>
      </w:r>
    </w:p>
    <w:p w14:paraId="7C74847B" w14:textId="30147812" w:rsidR="00B8551D" w:rsidRPr="00153D5A" w:rsidRDefault="00B8551D" w:rsidP="00CE3446">
      <w:pPr>
        <w:pStyle w:val="Heading1"/>
        <w:jc w:val="both"/>
        <w:rPr>
          <w:sz w:val="22"/>
          <w:szCs w:val="22"/>
        </w:rPr>
      </w:pPr>
      <w:r w:rsidRPr="00153D5A">
        <w:rPr>
          <w:sz w:val="22"/>
          <w:szCs w:val="22"/>
        </w:rPr>
        <w:t xml:space="preserve">Article </w:t>
      </w:r>
      <w:r w:rsidR="0070451C" w:rsidRPr="00153D5A">
        <w:rPr>
          <w:sz w:val="22"/>
          <w:szCs w:val="22"/>
        </w:rPr>
        <w:t>5</w:t>
      </w:r>
      <w:r w:rsidRPr="00153D5A">
        <w:rPr>
          <w:sz w:val="22"/>
          <w:szCs w:val="22"/>
        </w:rPr>
        <w:t>. Amendment</w:t>
      </w:r>
    </w:p>
    <w:p w14:paraId="1D0B6151" w14:textId="4C994B45" w:rsidR="00B8551D" w:rsidRPr="00153D5A" w:rsidRDefault="00B8551D" w:rsidP="00CE3446">
      <w:pPr>
        <w:pStyle w:val="ListBullet"/>
        <w:numPr>
          <w:ilvl w:val="0"/>
          <w:numId w:val="0"/>
        </w:numPr>
        <w:jc w:val="both"/>
        <w:rPr>
          <w:sz w:val="22"/>
          <w:szCs w:val="22"/>
        </w:rPr>
      </w:pPr>
      <w:r w:rsidRPr="00153D5A">
        <w:rPr>
          <w:sz w:val="22"/>
          <w:szCs w:val="22"/>
        </w:rPr>
        <w:t xml:space="preserve">This </w:t>
      </w:r>
      <w:r w:rsidR="00AC1F3C">
        <w:rPr>
          <w:sz w:val="22"/>
          <w:szCs w:val="22"/>
        </w:rPr>
        <w:t>C</w:t>
      </w:r>
      <w:r w:rsidRPr="00153D5A">
        <w:rPr>
          <w:sz w:val="22"/>
          <w:szCs w:val="22"/>
        </w:rPr>
        <w:t>harter may be altered, amended or repealed</w:t>
      </w:r>
      <w:r w:rsidR="00356A4E" w:rsidRPr="00153D5A">
        <w:rPr>
          <w:sz w:val="22"/>
          <w:szCs w:val="22"/>
        </w:rPr>
        <w:t xml:space="preserve"> </w:t>
      </w:r>
      <w:r w:rsidR="00784DF2">
        <w:rPr>
          <w:sz w:val="22"/>
          <w:szCs w:val="22"/>
        </w:rPr>
        <w:t xml:space="preserve">by the Open Pharma members, </w:t>
      </w:r>
      <w:r w:rsidR="00356A4E" w:rsidRPr="00153D5A">
        <w:rPr>
          <w:sz w:val="22"/>
          <w:szCs w:val="22"/>
        </w:rPr>
        <w:t>at any time</w:t>
      </w:r>
      <w:r w:rsidRPr="00153D5A">
        <w:rPr>
          <w:sz w:val="22"/>
          <w:szCs w:val="22"/>
        </w:rPr>
        <w:t xml:space="preserve">. </w:t>
      </w:r>
    </w:p>
    <w:p w14:paraId="58A11300" w14:textId="7D5B9BA5" w:rsidR="00B8551D" w:rsidRDefault="00B8551D" w:rsidP="00CE3446">
      <w:pPr>
        <w:pStyle w:val="ListBullet"/>
        <w:numPr>
          <w:ilvl w:val="0"/>
          <w:numId w:val="0"/>
        </w:numPr>
        <w:jc w:val="both"/>
        <w:rPr>
          <w:sz w:val="22"/>
          <w:szCs w:val="22"/>
        </w:rPr>
      </w:pPr>
    </w:p>
    <w:p w14:paraId="3E6EFFA1" w14:textId="77777777" w:rsidR="00730DAB" w:rsidRPr="00153D5A" w:rsidRDefault="00730DAB" w:rsidP="00CE3446">
      <w:pPr>
        <w:pStyle w:val="ListBullet"/>
        <w:numPr>
          <w:ilvl w:val="0"/>
          <w:numId w:val="0"/>
        </w:numPr>
        <w:jc w:val="both"/>
        <w:rPr>
          <w:sz w:val="22"/>
          <w:szCs w:val="22"/>
        </w:rPr>
      </w:pPr>
      <w:bookmarkStart w:id="1" w:name="_GoBack"/>
      <w:bookmarkEnd w:id="1"/>
    </w:p>
    <w:p w14:paraId="3662D825" w14:textId="58B50E75" w:rsidR="007733A9" w:rsidRDefault="00B8551D" w:rsidP="00CE3446">
      <w:pPr>
        <w:pStyle w:val="ListBullet"/>
        <w:numPr>
          <w:ilvl w:val="0"/>
          <w:numId w:val="0"/>
        </w:numPr>
        <w:jc w:val="both"/>
        <w:rPr>
          <w:sz w:val="22"/>
          <w:szCs w:val="22"/>
        </w:rPr>
      </w:pPr>
      <w:r w:rsidRPr="00153D5A">
        <w:rPr>
          <w:sz w:val="22"/>
          <w:szCs w:val="22"/>
        </w:rPr>
        <w:t>Adopted:</w:t>
      </w:r>
      <w:r w:rsidR="004C4161">
        <w:rPr>
          <w:sz w:val="22"/>
          <w:szCs w:val="22"/>
        </w:rPr>
        <w:t xml:space="preserve"> 2</w:t>
      </w:r>
      <w:r w:rsidR="0099133B">
        <w:rPr>
          <w:sz w:val="22"/>
          <w:szCs w:val="22"/>
        </w:rPr>
        <w:t>7</w:t>
      </w:r>
      <w:r w:rsidR="004C4161">
        <w:rPr>
          <w:sz w:val="22"/>
          <w:szCs w:val="22"/>
        </w:rPr>
        <w:t xml:space="preserve"> September 2019</w:t>
      </w:r>
    </w:p>
    <w:p w14:paraId="34F88BAD" w14:textId="6AE3B3A8" w:rsidR="00E25FC1" w:rsidRDefault="00E25FC1" w:rsidP="00CE3446">
      <w:pPr>
        <w:pStyle w:val="ListBullet"/>
        <w:numPr>
          <w:ilvl w:val="0"/>
          <w:numId w:val="0"/>
        </w:numPr>
        <w:jc w:val="both"/>
        <w:rPr>
          <w:sz w:val="22"/>
          <w:szCs w:val="22"/>
        </w:rPr>
      </w:pPr>
      <w:r>
        <w:rPr>
          <w:sz w:val="22"/>
          <w:szCs w:val="22"/>
        </w:rPr>
        <w:t xml:space="preserve">DOI: </w:t>
      </w:r>
      <w:hyperlink r:id="rId12" w:tgtFrame="_blank" w:history="1">
        <w:r>
          <w:rPr>
            <w:rStyle w:val="Hyperlink"/>
            <w:rFonts w:ascii="Arial" w:hAnsi="Arial" w:cs="Arial"/>
            <w:color w:val="C7404D"/>
            <w:sz w:val="20"/>
            <w:szCs w:val="20"/>
          </w:rPr>
          <w:t>10.6084/m9.figshare.9915806</w:t>
        </w:r>
      </w:hyperlink>
    </w:p>
    <w:p w14:paraId="2F2A247E" w14:textId="59F1E1DA" w:rsidR="00E777ED" w:rsidRDefault="00E777ED">
      <w:pPr>
        <w:spacing w:after="200" w:line="276" w:lineRule="auto"/>
        <w:rPr>
          <w:sz w:val="22"/>
          <w:szCs w:val="22"/>
        </w:rPr>
      </w:pPr>
      <w:r>
        <w:rPr>
          <w:sz w:val="22"/>
          <w:szCs w:val="22"/>
        </w:rPr>
        <w:br w:type="page"/>
      </w:r>
    </w:p>
    <w:p w14:paraId="6B8E0E61" w14:textId="7D678ED8" w:rsidR="00E777ED" w:rsidRPr="00153D5A" w:rsidRDefault="00E777ED" w:rsidP="00E777ED">
      <w:pPr>
        <w:pStyle w:val="Heading1"/>
        <w:jc w:val="both"/>
        <w:rPr>
          <w:sz w:val="22"/>
          <w:szCs w:val="22"/>
        </w:rPr>
      </w:pPr>
      <w:r w:rsidRPr="00153D5A">
        <w:rPr>
          <w:sz w:val="22"/>
          <w:szCs w:val="22"/>
        </w:rPr>
        <w:lastRenderedPageBreak/>
        <w:t>A</w:t>
      </w:r>
      <w:r>
        <w:rPr>
          <w:sz w:val="22"/>
          <w:szCs w:val="22"/>
        </w:rPr>
        <w:t>ppendix</w:t>
      </w:r>
      <w:r w:rsidRPr="00153D5A">
        <w:rPr>
          <w:sz w:val="22"/>
          <w:szCs w:val="22"/>
        </w:rPr>
        <w:t xml:space="preserve"> </w:t>
      </w:r>
      <w:r>
        <w:rPr>
          <w:sz w:val="22"/>
          <w:szCs w:val="22"/>
        </w:rPr>
        <w:t>1</w:t>
      </w:r>
      <w:r w:rsidRPr="00153D5A">
        <w:rPr>
          <w:sz w:val="22"/>
          <w:szCs w:val="22"/>
        </w:rPr>
        <w:t xml:space="preserve">. </w:t>
      </w:r>
      <w:r>
        <w:rPr>
          <w:sz w:val="22"/>
          <w:szCs w:val="22"/>
        </w:rPr>
        <w:t xml:space="preserve">Members and </w:t>
      </w:r>
      <w:r w:rsidR="00A11862">
        <w:rPr>
          <w:sz w:val="22"/>
          <w:szCs w:val="22"/>
        </w:rPr>
        <w:t>S</w:t>
      </w:r>
      <w:r>
        <w:rPr>
          <w:sz w:val="22"/>
          <w:szCs w:val="22"/>
        </w:rPr>
        <w:t>upporters 2019</w:t>
      </w:r>
    </w:p>
    <w:p w14:paraId="43CA94BA" w14:textId="08DFF127" w:rsidR="00E777ED" w:rsidRDefault="00E777ED" w:rsidP="00E777ED">
      <w:pPr>
        <w:pStyle w:val="Heading2"/>
        <w:jc w:val="both"/>
        <w:rPr>
          <w:sz w:val="22"/>
          <w:szCs w:val="22"/>
        </w:rPr>
      </w:pPr>
      <w:r w:rsidRPr="00153D5A">
        <w:rPr>
          <w:sz w:val="22"/>
          <w:szCs w:val="22"/>
        </w:rPr>
        <w:t xml:space="preserve">Section 1. </w:t>
      </w:r>
      <w:r>
        <w:rPr>
          <w:sz w:val="22"/>
          <w:szCs w:val="22"/>
        </w:rPr>
        <w:t>Members for 2019</w:t>
      </w:r>
    </w:p>
    <w:p w14:paraId="11BCA078" w14:textId="77777777" w:rsidR="00E777ED" w:rsidRPr="00153D5A" w:rsidRDefault="00E777ED" w:rsidP="00E777ED">
      <w:pPr>
        <w:pStyle w:val="ListBullet"/>
        <w:jc w:val="both"/>
        <w:rPr>
          <w:sz w:val="22"/>
          <w:szCs w:val="22"/>
        </w:rPr>
      </w:pPr>
      <w:r w:rsidRPr="00153D5A">
        <w:rPr>
          <w:sz w:val="22"/>
          <w:szCs w:val="22"/>
        </w:rPr>
        <w:t>GlaxoSmithKline (GSK), represented by the GSK Vaccines division</w:t>
      </w:r>
    </w:p>
    <w:p w14:paraId="0C64E567" w14:textId="77777777" w:rsidR="00E777ED" w:rsidRPr="00153D5A" w:rsidRDefault="00E777ED" w:rsidP="00E777ED">
      <w:pPr>
        <w:pStyle w:val="ListBullet"/>
        <w:jc w:val="both"/>
        <w:rPr>
          <w:sz w:val="22"/>
          <w:szCs w:val="22"/>
        </w:rPr>
      </w:pPr>
      <w:r w:rsidRPr="00153D5A">
        <w:rPr>
          <w:sz w:val="22"/>
          <w:szCs w:val="22"/>
        </w:rPr>
        <w:t>Novo Nordisk</w:t>
      </w:r>
    </w:p>
    <w:p w14:paraId="15C150AD" w14:textId="77777777" w:rsidR="00E777ED" w:rsidRPr="00153D5A" w:rsidRDefault="00E777ED" w:rsidP="00E777ED">
      <w:pPr>
        <w:pStyle w:val="ListBullet"/>
        <w:jc w:val="both"/>
        <w:rPr>
          <w:sz w:val="22"/>
          <w:szCs w:val="22"/>
        </w:rPr>
      </w:pPr>
      <w:r w:rsidRPr="00153D5A">
        <w:rPr>
          <w:sz w:val="22"/>
          <w:szCs w:val="22"/>
        </w:rPr>
        <w:t>Pfizer</w:t>
      </w:r>
    </w:p>
    <w:p w14:paraId="3440AF6D" w14:textId="77777777" w:rsidR="00E777ED" w:rsidRPr="00153D5A" w:rsidRDefault="00E777ED" w:rsidP="00E777ED">
      <w:pPr>
        <w:pStyle w:val="ListBullet"/>
        <w:jc w:val="both"/>
        <w:rPr>
          <w:sz w:val="22"/>
          <w:szCs w:val="22"/>
        </w:rPr>
      </w:pPr>
      <w:r w:rsidRPr="00153D5A">
        <w:rPr>
          <w:sz w:val="22"/>
          <w:szCs w:val="22"/>
        </w:rPr>
        <w:t>Takeda (formerly Shire)</w:t>
      </w:r>
    </w:p>
    <w:p w14:paraId="493FC898" w14:textId="77777777" w:rsidR="00E777ED" w:rsidRPr="00E777ED" w:rsidRDefault="00E777ED" w:rsidP="00E777ED"/>
    <w:p w14:paraId="23DD8F47" w14:textId="1233223D" w:rsidR="00E777ED" w:rsidRDefault="00E777ED" w:rsidP="00E777ED">
      <w:pPr>
        <w:pStyle w:val="Heading2"/>
        <w:jc w:val="both"/>
        <w:rPr>
          <w:sz w:val="22"/>
          <w:szCs w:val="22"/>
        </w:rPr>
      </w:pPr>
      <w:r w:rsidRPr="00153D5A">
        <w:rPr>
          <w:sz w:val="22"/>
          <w:szCs w:val="22"/>
        </w:rPr>
        <w:t xml:space="preserve">Section </w:t>
      </w:r>
      <w:r>
        <w:rPr>
          <w:sz w:val="22"/>
          <w:szCs w:val="22"/>
        </w:rPr>
        <w:t>2</w:t>
      </w:r>
      <w:r w:rsidRPr="00153D5A">
        <w:rPr>
          <w:sz w:val="22"/>
          <w:szCs w:val="22"/>
        </w:rPr>
        <w:t xml:space="preserve">. </w:t>
      </w:r>
      <w:r>
        <w:rPr>
          <w:sz w:val="22"/>
          <w:szCs w:val="22"/>
        </w:rPr>
        <w:t>Supporters for 2019</w:t>
      </w:r>
    </w:p>
    <w:p w14:paraId="6CF82433" w14:textId="77777777" w:rsidR="00E777ED" w:rsidRPr="00153D5A" w:rsidRDefault="00E777ED" w:rsidP="00E777ED">
      <w:pPr>
        <w:pStyle w:val="ListBullet"/>
        <w:jc w:val="both"/>
        <w:rPr>
          <w:sz w:val="22"/>
          <w:szCs w:val="22"/>
        </w:rPr>
      </w:pPr>
      <w:r w:rsidRPr="00153D5A">
        <w:rPr>
          <w:sz w:val="22"/>
          <w:szCs w:val="22"/>
        </w:rPr>
        <w:t>AstraZeneca</w:t>
      </w:r>
    </w:p>
    <w:p w14:paraId="0691A0D5" w14:textId="77777777" w:rsidR="00E777ED" w:rsidRPr="00153D5A" w:rsidRDefault="00E777ED" w:rsidP="00E777ED">
      <w:pPr>
        <w:pStyle w:val="ListBullet"/>
        <w:jc w:val="both"/>
        <w:rPr>
          <w:sz w:val="22"/>
          <w:szCs w:val="22"/>
        </w:rPr>
      </w:pPr>
      <w:r w:rsidRPr="00153D5A">
        <w:rPr>
          <w:sz w:val="22"/>
          <w:szCs w:val="22"/>
        </w:rPr>
        <w:t>Roche</w:t>
      </w:r>
    </w:p>
    <w:p w14:paraId="1BD3B8DD" w14:textId="77777777" w:rsidR="00E777ED" w:rsidRPr="00153D5A" w:rsidRDefault="00E777ED" w:rsidP="00E777ED">
      <w:pPr>
        <w:pStyle w:val="ListBullet"/>
        <w:jc w:val="both"/>
        <w:rPr>
          <w:sz w:val="22"/>
          <w:szCs w:val="22"/>
        </w:rPr>
      </w:pPr>
      <w:r w:rsidRPr="00153D5A">
        <w:rPr>
          <w:sz w:val="22"/>
          <w:szCs w:val="22"/>
        </w:rPr>
        <w:t>Wiley</w:t>
      </w:r>
    </w:p>
    <w:p w14:paraId="4A1556F5" w14:textId="77777777" w:rsidR="00E777ED" w:rsidRPr="00153D5A" w:rsidRDefault="00E777ED" w:rsidP="00CE3446">
      <w:pPr>
        <w:pStyle w:val="ListBullet"/>
        <w:numPr>
          <w:ilvl w:val="0"/>
          <w:numId w:val="0"/>
        </w:numPr>
        <w:jc w:val="both"/>
        <w:rPr>
          <w:sz w:val="22"/>
          <w:szCs w:val="22"/>
        </w:rPr>
      </w:pPr>
    </w:p>
    <w:p w14:paraId="00B90356" w14:textId="4EB5330F" w:rsidR="00E777ED" w:rsidRDefault="00E777ED" w:rsidP="00E777ED">
      <w:pPr>
        <w:pStyle w:val="Heading2"/>
        <w:jc w:val="both"/>
        <w:rPr>
          <w:sz w:val="22"/>
          <w:szCs w:val="22"/>
        </w:rPr>
      </w:pPr>
      <w:r w:rsidRPr="00153D5A">
        <w:rPr>
          <w:sz w:val="22"/>
          <w:szCs w:val="22"/>
        </w:rPr>
        <w:t xml:space="preserve">Section </w:t>
      </w:r>
      <w:r>
        <w:rPr>
          <w:sz w:val="22"/>
          <w:szCs w:val="22"/>
        </w:rPr>
        <w:t>3</w:t>
      </w:r>
      <w:r w:rsidRPr="00153D5A">
        <w:rPr>
          <w:sz w:val="22"/>
          <w:szCs w:val="22"/>
        </w:rPr>
        <w:t xml:space="preserve">. </w:t>
      </w:r>
      <w:r>
        <w:rPr>
          <w:sz w:val="22"/>
          <w:szCs w:val="22"/>
        </w:rPr>
        <w:t>Acknowledgement for financial support in previous years</w:t>
      </w:r>
      <w:r w:rsidRPr="00153D5A">
        <w:rPr>
          <w:sz w:val="22"/>
          <w:szCs w:val="22"/>
        </w:rPr>
        <w:t xml:space="preserve"> </w:t>
      </w:r>
    </w:p>
    <w:p w14:paraId="35FAD8E1" w14:textId="77777777" w:rsidR="00E777ED" w:rsidRPr="00153D5A" w:rsidRDefault="00E777ED" w:rsidP="00E777ED">
      <w:pPr>
        <w:jc w:val="both"/>
        <w:rPr>
          <w:rFonts w:cstheme="minorHAnsi"/>
          <w:sz w:val="22"/>
          <w:szCs w:val="22"/>
        </w:rPr>
      </w:pPr>
      <w:r w:rsidRPr="00153D5A">
        <w:rPr>
          <w:rFonts w:cstheme="minorHAnsi"/>
          <w:sz w:val="22"/>
          <w:szCs w:val="22"/>
        </w:rPr>
        <w:t>Open Pharma</w:t>
      </w:r>
      <w:r>
        <w:rPr>
          <w:rFonts w:cstheme="minorHAnsi"/>
          <w:sz w:val="22"/>
          <w:szCs w:val="22"/>
        </w:rPr>
        <w:t xml:space="preserve"> is</w:t>
      </w:r>
      <w:r w:rsidRPr="00153D5A">
        <w:rPr>
          <w:rFonts w:cstheme="minorHAnsi"/>
          <w:sz w:val="22"/>
          <w:szCs w:val="22"/>
        </w:rPr>
        <w:t xml:space="preserve"> also grateful to previous contributors:</w:t>
      </w:r>
    </w:p>
    <w:p w14:paraId="735F0C92" w14:textId="77777777" w:rsidR="00E777ED" w:rsidRPr="00153D5A" w:rsidRDefault="00E777ED" w:rsidP="00E777ED">
      <w:pPr>
        <w:pStyle w:val="ListBullet"/>
        <w:jc w:val="both"/>
        <w:rPr>
          <w:sz w:val="22"/>
          <w:szCs w:val="22"/>
        </w:rPr>
      </w:pPr>
      <w:r w:rsidRPr="00153D5A">
        <w:rPr>
          <w:sz w:val="22"/>
          <w:szCs w:val="22"/>
        </w:rPr>
        <w:t>UCB</w:t>
      </w:r>
    </w:p>
    <w:p w14:paraId="20723F44" w14:textId="0369F13D" w:rsidR="00E777ED" w:rsidRPr="00153D5A" w:rsidRDefault="00784DF2" w:rsidP="00E777ED">
      <w:pPr>
        <w:pStyle w:val="ListBullet"/>
        <w:jc w:val="both"/>
        <w:rPr>
          <w:sz w:val="22"/>
          <w:szCs w:val="22"/>
        </w:rPr>
      </w:pPr>
      <w:r>
        <w:rPr>
          <w:sz w:val="22"/>
          <w:szCs w:val="22"/>
        </w:rPr>
        <w:t xml:space="preserve">The </w:t>
      </w:r>
      <w:r w:rsidR="00E777ED" w:rsidRPr="00153D5A">
        <w:rPr>
          <w:sz w:val="22"/>
          <w:szCs w:val="22"/>
        </w:rPr>
        <w:t>Wellcome Trust</w:t>
      </w:r>
    </w:p>
    <w:p w14:paraId="74FA00BA" w14:textId="77777777" w:rsidR="00E777ED" w:rsidRPr="00153D5A" w:rsidRDefault="00E777ED" w:rsidP="00CE3446">
      <w:pPr>
        <w:pStyle w:val="ListBullet"/>
        <w:numPr>
          <w:ilvl w:val="0"/>
          <w:numId w:val="0"/>
        </w:numPr>
        <w:jc w:val="both"/>
        <w:rPr>
          <w:sz w:val="22"/>
          <w:szCs w:val="22"/>
        </w:rPr>
      </w:pPr>
    </w:p>
    <w:sectPr w:rsidR="00E777ED" w:rsidRPr="00153D5A" w:rsidSect="00A77BCB">
      <w:headerReference w:type="default" r:id="rId13"/>
      <w:footerReference w:type="default" r:id="rId14"/>
      <w:pgSz w:w="11906" w:h="16838" w:code="12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EAAB" w14:textId="77777777" w:rsidR="00A15B36" w:rsidRDefault="00A15B36" w:rsidP="00872BEF">
      <w:r>
        <w:separator/>
      </w:r>
    </w:p>
  </w:endnote>
  <w:endnote w:type="continuationSeparator" w:id="0">
    <w:p w14:paraId="568B389F" w14:textId="77777777" w:rsidR="00A15B36" w:rsidRDefault="00A15B36" w:rsidP="00872BEF">
      <w:r>
        <w:continuationSeparator/>
      </w:r>
    </w:p>
  </w:endnote>
  <w:endnote w:type="continuationNotice" w:id="1">
    <w:p w14:paraId="0E62E819" w14:textId="77777777" w:rsidR="00A15B36" w:rsidRDefault="00A15B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D14D" w14:textId="7C2B663B" w:rsidR="00DB6B49" w:rsidRDefault="00311B74" w:rsidP="00467933">
    <w:pPr>
      <w:pStyle w:val="Footer"/>
      <w:tabs>
        <w:tab w:val="clear" w:pos="4513"/>
      </w:tabs>
    </w:pPr>
    <w:r w:rsidRPr="00F759CB">
      <w:rPr>
        <w:noProof/>
      </w:rPr>
      <w:drawing>
        <wp:anchor distT="0" distB="0" distL="114300" distR="114300" simplePos="0" relativeHeight="251662848" behindDoc="1" locked="0" layoutInCell="1" allowOverlap="1" wp14:anchorId="27FDE03E" wp14:editId="061088BB">
          <wp:simplePos x="0" y="0"/>
          <wp:positionH relativeFrom="page">
            <wp:posOffset>-1671145</wp:posOffset>
          </wp:positionH>
          <wp:positionV relativeFrom="page">
            <wp:posOffset>6598876</wp:posOffset>
          </wp:positionV>
          <wp:extent cx="5731510" cy="571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PF06 Open Access.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731510" cy="5718175"/>
                  </a:xfrm>
                  <a:prstGeom prst="rect">
                    <a:avLst/>
                  </a:prstGeom>
                </pic:spPr>
              </pic:pic>
            </a:graphicData>
          </a:graphic>
          <wp14:sizeRelH relativeFrom="page">
            <wp14:pctWidth>0</wp14:pctWidth>
          </wp14:sizeRelH>
          <wp14:sizeRelV relativeFrom="page">
            <wp14:pctHeight>0</wp14:pctHeight>
          </wp14:sizeRelV>
        </wp:anchor>
      </w:drawing>
    </w:r>
    <w:r w:rsidR="00DB6B49">
      <w:rPr>
        <w:noProof/>
      </w:rPr>
      <w:tab/>
    </w:r>
    <w:sdt>
      <w:sdtPr>
        <w:id w:val="-2053683310"/>
        <w:docPartObj>
          <w:docPartGallery w:val="Page Numbers (Bottom of Page)"/>
          <w:docPartUnique/>
        </w:docPartObj>
      </w:sdtPr>
      <w:sdtEndPr>
        <w:rPr>
          <w:noProof/>
        </w:rPr>
      </w:sdtEndPr>
      <w:sdtContent>
        <w:r w:rsidR="00DB6B49">
          <w:fldChar w:fldCharType="begin"/>
        </w:r>
        <w:r w:rsidR="00DB6B49">
          <w:instrText xml:space="preserve"> PAGE   \* MERGEFORMAT </w:instrText>
        </w:r>
        <w:r w:rsidR="00DB6B49">
          <w:fldChar w:fldCharType="separate"/>
        </w:r>
        <w:r w:rsidR="00390820">
          <w:rPr>
            <w:noProof/>
          </w:rPr>
          <w:t>9</w:t>
        </w:r>
        <w:r w:rsidR="00DB6B4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95F8" w14:textId="77777777" w:rsidR="00A15B36" w:rsidRDefault="00A15B36" w:rsidP="00872BEF">
      <w:r>
        <w:separator/>
      </w:r>
    </w:p>
  </w:footnote>
  <w:footnote w:type="continuationSeparator" w:id="0">
    <w:p w14:paraId="7650CD50" w14:textId="77777777" w:rsidR="00A15B36" w:rsidRDefault="00A15B36" w:rsidP="00872BEF">
      <w:r>
        <w:continuationSeparator/>
      </w:r>
    </w:p>
  </w:footnote>
  <w:footnote w:type="continuationNotice" w:id="1">
    <w:p w14:paraId="62FF7D57" w14:textId="77777777" w:rsidR="00A15B36" w:rsidRDefault="00A15B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CEA1" w14:textId="69294452" w:rsidR="00311B74" w:rsidRDefault="00311B74">
    <w:pPr>
      <w:pStyle w:val="Header"/>
    </w:pPr>
    <w:r w:rsidRPr="00311B74">
      <w:rPr>
        <w:rFonts w:ascii="Arial" w:eastAsia="Calibri" w:hAnsi="Arial" w:cs="Arial"/>
        <w:noProof/>
        <w:color w:val="002395"/>
        <w:sz w:val="20"/>
        <w:szCs w:val="20"/>
        <w:lang w:eastAsia="en-US"/>
      </w:rPr>
      <w:drawing>
        <wp:anchor distT="0" distB="0" distL="114300" distR="114300" simplePos="0" relativeHeight="251652608" behindDoc="1" locked="0" layoutInCell="1" allowOverlap="1" wp14:anchorId="6F2EE6D6" wp14:editId="5D935757">
          <wp:simplePos x="0" y="0"/>
          <wp:positionH relativeFrom="column">
            <wp:posOffset>4772025</wp:posOffset>
          </wp:positionH>
          <wp:positionV relativeFrom="paragraph">
            <wp:posOffset>-164465</wp:posOffset>
          </wp:positionV>
          <wp:extent cx="1722120" cy="430530"/>
          <wp:effectExtent l="0" t="0" r="0" b="7620"/>
          <wp:wrapTight wrapText="bothSides">
            <wp:wrapPolygon edited="0">
              <wp:start x="2389" y="0"/>
              <wp:lineTo x="0" y="9558"/>
              <wp:lineTo x="0" y="13381"/>
              <wp:lineTo x="956" y="15292"/>
              <wp:lineTo x="2150" y="21027"/>
              <wp:lineTo x="2389" y="21027"/>
              <wp:lineTo x="3823" y="21027"/>
              <wp:lineTo x="4540" y="21027"/>
              <wp:lineTo x="9080" y="16248"/>
              <wp:lineTo x="21265" y="15292"/>
              <wp:lineTo x="21265" y="7646"/>
              <wp:lineTo x="3823" y="0"/>
              <wp:lineTo x="2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Pharma logo colour Final 800x200.png"/>
                  <pic:cNvPicPr/>
                </pic:nvPicPr>
                <pic:blipFill>
                  <a:blip r:embed="rId1">
                    <a:extLst>
                      <a:ext uri="{28A0092B-C50C-407E-A947-70E740481C1C}">
                        <a14:useLocalDpi xmlns:a14="http://schemas.microsoft.com/office/drawing/2010/main" val="0"/>
                      </a:ext>
                    </a:extLst>
                  </a:blip>
                  <a:stretch>
                    <a:fillRect/>
                  </a:stretch>
                </pic:blipFill>
                <pic:spPr>
                  <a:xfrm>
                    <a:off x="0" y="0"/>
                    <a:ext cx="1722120" cy="430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16.5pt" o:bullet="t">
        <v:imagedata r:id="rId1" o:title="Elipse_blue"/>
      </v:shape>
    </w:pict>
  </w:numPicBullet>
  <w:abstractNum w:abstractNumId="0" w15:restartNumberingAfterBreak="0">
    <w:nsid w:val="FFFFFF7C"/>
    <w:multiLevelType w:val="singleLevel"/>
    <w:tmpl w:val="C78CC4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EA6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8889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6B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347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20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6D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6D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587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2A6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D478F"/>
    <w:multiLevelType w:val="hybridMultilevel"/>
    <w:tmpl w:val="B9769038"/>
    <w:lvl w:ilvl="0" w:tplc="05640978">
      <w:numFmt w:val="bullet"/>
      <w:lvlText w:val="•"/>
      <w:lvlJc w:val="left"/>
      <w:pPr>
        <w:ind w:left="780" w:hanging="4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55152"/>
    <w:multiLevelType w:val="hybridMultilevel"/>
    <w:tmpl w:val="DCE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E5C17"/>
    <w:multiLevelType w:val="multilevel"/>
    <w:tmpl w:val="CBFC3770"/>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88B1E7A"/>
    <w:multiLevelType w:val="multilevel"/>
    <w:tmpl w:val="B888E8F0"/>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714" w:hanging="357"/>
      </w:pPr>
      <w:rPr>
        <w:rFonts w:hint="default"/>
        <w:color w:val="002395" w:themeColor="text2"/>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15:restartNumberingAfterBreak="0">
    <w:nsid w:val="5F2C7688"/>
    <w:multiLevelType w:val="hybridMultilevel"/>
    <w:tmpl w:val="FD3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317BA"/>
    <w:multiLevelType w:val="hybridMultilevel"/>
    <w:tmpl w:val="FC2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507E4"/>
    <w:multiLevelType w:val="hybridMultilevel"/>
    <w:tmpl w:val="E83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35F16"/>
    <w:multiLevelType w:val="hybridMultilevel"/>
    <w:tmpl w:val="2A52089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6"/>
  </w:num>
  <w:num w:numId="18">
    <w:abstractNumId w:val="15"/>
  </w:num>
  <w:num w:numId="19">
    <w:abstractNumId w:val="19"/>
  </w:num>
  <w:num w:numId="20">
    <w:abstractNumId w:val="13"/>
  </w:num>
  <w:num w:numId="21">
    <w:abstractNumId w:val="18"/>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o:colormenu v:ext="edit" fillcolor="none [3214]"/>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E3"/>
    <w:rsid w:val="000143D8"/>
    <w:rsid w:val="000218B9"/>
    <w:rsid w:val="00021CF0"/>
    <w:rsid w:val="000517A7"/>
    <w:rsid w:val="00057C64"/>
    <w:rsid w:val="00060756"/>
    <w:rsid w:val="00066CB2"/>
    <w:rsid w:val="00067686"/>
    <w:rsid w:val="00067DC9"/>
    <w:rsid w:val="000738E7"/>
    <w:rsid w:val="00073DE9"/>
    <w:rsid w:val="0009692F"/>
    <w:rsid w:val="00097627"/>
    <w:rsid w:val="00097A40"/>
    <w:rsid w:val="000A1EEE"/>
    <w:rsid w:val="000A3008"/>
    <w:rsid w:val="000A6991"/>
    <w:rsid w:val="000B347D"/>
    <w:rsid w:val="000B5287"/>
    <w:rsid w:val="000C3019"/>
    <w:rsid w:val="000D5B89"/>
    <w:rsid w:val="000E1DF9"/>
    <w:rsid w:val="000E449E"/>
    <w:rsid w:val="000E50D4"/>
    <w:rsid w:val="000F6166"/>
    <w:rsid w:val="00100762"/>
    <w:rsid w:val="00115313"/>
    <w:rsid w:val="0011634B"/>
    <w:rsid w:val="00121880"/>
    <w:rsid w:val="001265CB"/>
    <w:rsid w:val="00140D33"/>
    <w:rsid w:val="0014244E"/>
    <w:rsid w:val="00143170"/>
    <w:rsid w:val="00145DCF"/>
    <w:rsid w:val="001521AD"/>
    <w:rsid w:val="00153D5A"/>
    <w:rsid w:val="001558F3"/>
    <w:rsid w:val="00164376"/>
    <w:rsid w:val="00173B48"/>
    <w:rsid w:val="00174EAF"/>
    <w:rsid w:val="001776DC"/>
    <w:rsid w:val="001913C2"/>
    <w:rsid w:val="001974F6"/>
    <w:rsid w:val="001A656B"/>
    <w:rsid w:val="001B33E3"/>
    <w:rsid w:val="001D20F4"/>
    <w:rsid w:val="001E04C2"/>
    <w:rsid w:val="001E13F5"/>
    <w:rsid w:val="001F2452"/>
    <w:rsid w:val="001F361F"/>
    <w:rsid w:val="0020464D"/>
    <w:rsid w:val="002046EA"/>
    <w:rsid w:val="002209C7"/>
    <w:rsid w:val="002235AE"/>
    <w:rsid w:val="00223D2E"/>
    <w:rsid w:val="00224064"/>
    <w:rsid w:val="002414DE"/>
    <w:rsid w:val="00242151"/>
    <w:rsid w:val="00266253"/>
    <w:rsid w:val="00267853"/>
    <w:rsid w:val="00271726"/>
    <w:rsid w:val="002947CC"/>
    <w:rsid w:val="00296CA3"/>
    <w:rsid w:val="002A2753"/>
    <w:rsid w:val="002A6E1B"/>
    <w:rsid w:val="002A7E88"/>
    <w:rsid w:val="002B4281"/>
    <w:rsid w:val="002C026E"/>
    <w:rsid w:val="002C1FDA"/>
    <w:rsid w:val="002C50D3"/>
    <w:rsid w:val="002C73A9"/>
    <w:rsid w:val="002D21DD"/>
    <w:rsid w:val="002D2FC1"/>
    <w:rsid w:val="002E253E"/>
    <w:rsid w:val="002E37AC"/>
    <w:rsid w:val="002E5ED6"/>
    <w:rsid w:val="003028C3"/>
    <w:rsid w:val="00311B74"/>
    <w:rsid w:val="00316971"/>
    <w:rsid w:val="00321303"/>
    <w:rsid w:val="003260BE"/>
    <w:rsid w:val="0034307F"/>
    <w:rsid w:val="00351FA9"/>
    <w:rsid w:val="00356A4E"/>
    <w:rsid w:val="003574FF"/>
    <w:rsid w:val="0036527C"/>
    <w:rsid w:val="003742C6"/>
    <w:rsid w:val="003771BC"/>
    <w:rsid w:val="00381DC8"/>
    <w:rsid w:val="00390820"/>
    <w:rsid w:val="003A71D7"/>
    <w:rsid w:val="003A7960"/>
    <w:rsid w:val="003B3E24"/>
    <w:rsid w:val="003B64BA"/>
    <w:rsid w:val="003D31E5"/>
    <w:rsid w:val="003E424D"/>
    <w:rsid w:val="003E500E"/>
    <w:rsid w:val="003F3245"/>
    <w:rsid w:val="004136F2"/>
    <w:rsid w:val="0042082D"/>
    <w:rsid w:val="00422A05"/>
    <w:rsid w:val="00425DB8"/>
    <w:rsid w:val="004274C1"/>
    <w:rsid w:val="004308D6"/>
    <w:rsid w:val="00450B4B"/>
    <w:rsid w:val="0045711D"/>
    <w:rsid w:val="00461902"/>
    <w:rsid w:val="00464A92"/>
    <w:rsid w:val="00464A9D"/>
    <w:rsid w:val="00467933"/>
    <w:rsid w:val="00467A45"/>
    <w:rsid w:val="004820EF"/>
    <w:rsid w:val="0048429C"/>
    <w:rsid w:val="004902E9"/>
    <w:rsid w:val="004A130A"/>
    <w:rsid w:val="004A3E37"/>
    <w:rsid w:val="004A424B"/>
    <w:rsid w:val="004A53E6"/>
    <w:rsid w:val="004A56CE"/>
    <w:rsid w:val="004B043A"/>
    <w:rsid w:val="004B6E28"/>
    <w:rsid w:val="004C3066"/>
    <w:rsid w:val="004C4161"/>
    <w:rsid w:val="004C4B08"/>
    <w:rsid w:val="004C6C83"/>
    <w:rsid w:val="004C72CC"/>
    <w:rsid w:val="004D03DB"/>
    <w:rsid w:val="004D3EA8"/>
    <w:rsid w:val="004E10A7"/>
    <w:rsid w:val="004E6A57"/>
    <w:rsid w:val="004F554D"/>
    <w:rsid w:val="00513C21"/>
    <w:rsid w:val="005155B5"/>
    <w:rsid w:val="0051783D"/>
    <w:rsid w:val="00521850"/>
    <w:rsid w:val="0052419F"/>
    <w:rsid w:val="00536547"/>
    <w:rsid w:val="005472DA"/>
    <w:rsid w:val="0058489D"/>
    <w:rsid w:val="0059278E"/>
    <w:rsid w:val="00595433"/>
    <w:rsid w:val="005A75D1"/>
    <w:rsid w:val="005B2812"/>
    <w:rsid w:val="005C3AC1"/>
    <w:rsid w:val="005D0049"/>
    <w:rsid w:val="005D4BD9"/>
    <w:rsid w:val="005D73A3"/>
    <w:rsid w:val="00601E38"/>
    <w:rsid w:val="00610DB7"/>
    <w:rsid w:val="006161C6"/>
    <w:rsid w:val="0062040F"/>
    <w:rsid w:val="00634728"/>
    <w:rsid w:val="00635FED"/>
    <w:rsid w:val="0063651D"/>
    <w:rsid w:val="006370D3"/>
    <w:rsid w:val="006452DC"/>
    <w:rsid w:val="00647EFE"/>
    <w:rsid w:val="006526B3"/>
    <w:rsid w:val="00661B39"/>
    <w:rsid w:val="006653B4"/>
    <w:rsid w:val="00674905"/>
    <w:rsid w:val="00674ABE"/>
    <w:rsid w:val="006761C2"/>
    <w:rsid w:val="006A09DA"/>
    <w:rsid w:val="006B1FDF"/>
    <w:rsid w:val="006C163C"/>
    <w:rsid w:val="006C4CF3"/>
    <w:rsid w:val="006D3B47"/>
    <w:rsid w:val="006D4733"/>
    <w:rsid w:val="006E3CE0"/>
    <w:rsid w:val="006F1F09"/>
    <w:rsid w:val="006F253A"/>
    <w:rsid w:val="007034E6"/>
    <w:rsid w:val="0070451C"/>
    <w:rsid w:val="00714E6F"/>
    <w:rsid w:val="00724AB5"/>
    <w:rsid w:val="00730DAB"/>
    <w:rsid w:val="00734187"/>
    <w:rsid w:val="00737E4E"/>
    <w:rsid w:val="00742575"/>
    <w:rsid w:val="007438FA"/>
    <w:rsid w:val="00743BDC"/>
    <w:rsid w:val="00753BD2"/>
    <w:rsid w:val="007602E2"/>
    <w:rsid w:val="007733A9"/>
    <w:rsid w:val="00773A93"/>
    <w:rsid w:val="00783269"/>
    <w:rsid w:val="00784DF2"/>
    <w:rsid w:val="00785147"/>
    <w:rsid w:val="007A1F8A"/>
    <w:rsid w:val="007B1F3D"/>
    <w:rsid w:val="007B28D4"/>
    <w:rsid w:val="007B5BC6"/>
    <w:rsid w:val="007B76B0"/>
    <w:rsid w:val="007B7D1D"/>
    <w:rsid w:val="007C293E"/>
    <w:rsid w:val="007C5ECF"/>
    <w:rsid w:val="007D2056"/>
    <w:rsid w:val="007D214E"/>
    <w:rsid w:val="007D6257"/>
    <w:rsid w:val="007F2D0A"/>
    <w:rsid w:val="008213CD"/>
    <w:rsid w:val="00843B16"/>
    <w:rsid w:val="00845B78"/>
    <w:rsid w:val="0084685A"/>
    <w:rsid w:val="00846DFE"/>
    <w:rsid w:val="00854D55"/>
    <w:rsid w:val="0087253C"/>
    <w:rsid w:val="00872BEF"/>
    <w:rsid w:val="008B3D08"/>
    <w:rsid w:val="008B61F7"/>
    <w:rsid w:val="008B76B1"/>
    <w:rsid w:val="008C5AE4"/>
    <w:rsid w:val="008F2FED"/>
    <w:rsid w:val="00921021"/>
    <w:rsid w:val="00932457"/>
    <w:rsid w:val="009331CC"/>
    <w:rsid w:val="009359FA"/>
    <w:rsid w:val="00937159"/>
    <w:rsid w:val="00942FF0"/>
    <w:rsid w:val="009569ED"/>
    <w:rsid w:val="00957286"/>
    <w:rsid w:val="00964171"/>
    <w:rsid w:val="0097268E"/>
    <w:rsid w:val="009758D5"/>
    <w:rsid w:val="00983463"/>
    <w:rsid w:val="0099133B"/>
    <w:rsid w:val="00991A64"/>
    <w:rsid w:val="00991A94"/>
    <w:rsid w:val="00997342"/>
    <w:rsid w:val="00997C57"/>
    <w:rsid w:val="009A6E64"/>
    <w:rsid w:val="009C021A"/>
    <w:rsid w:val="009C18D5"/>
    <w:rsid w:val="009C27E1"/>
    <w:rsid w:val="009C6204"/>
    <w:rsid w:val="009D4129"/>
    <w:rsid w:val="009E1DA7"/>
    <w:rsid w:val="009E21CF"/>
    <w:rsid w:val="009E519A"/>
    <w:rsid w:val="009F1238"/>
    <w:rsid w:val="009F7CA6"/>
    <w:rsid w:val="00A11862"/>
    <w:rsid w:val="00A15B36"/>
    <w:rsid w:val="00A25065"/>
    <w:rsid w:val="00A26730"/>
    <w:rsid w:val="00A40623"/>
    <w:rsid w:val="00A4340F"/>
    <w:rsid w:val="00A452AB"/>
    <w:rsid w:val="00A50CA5"/>
    <w:rsid w:val="00A5581F"/>
    <w:rsid w:val="00A56EB5"/>
    <w:rsid w:val="00A56F39"/>
    <w:rsid w:val="00A61684"/>
    <w:rsid w:val="00A66F0F"/>
    <w:rsid w:val="00A77BCB"/>
    <w:rsid w:val="00A85BF1"/>
    <w:rsid w:val="00AA00A9"/>
    <w:rsid w:val="00AB269F"/>
    <w:rsid w:val="00AB7653"/>
    <w:rsid w:val="00AC1F3C"/>
    <w:rsid w:val="00AD7476"/>
    <w:rsid w:val="00AE1BE1"/>
    <w:rsid w:val="00B06718"/>
    <w:rsid w:val="00B072BA"/>
    <w:rsid w:val="00B079A7"/>
    <w:rsid w:val="00B138CF"/>
    <w:rsid w:val="00B144A8"/>
    <w:rsid w:val="00B2064A"/>
    <w:rsid w:val="00B21604"/>
    <w:rsid w:val="00B24EDD"/>
    <w:rsid w:val="00B25268"/>
    <w:rsid w:val="00B41B02"/>
    <w:rsid w:val="00B50ACD"/>
    <w:rsid w:val="00B55D67"/>
    <w:rsid w:val="00B63045"/>
    <w:rsid w:val="00B66098"/>
    <w:rsid w:val="00B66A6F"/>
    <w:rsid w:val="00B8551D"/>
    <w:rsid w:val="00B939FF"/>
    <w:rsid w:val="00BA1423"/>
    <w:rsid w:val="00BA5D1A"/>
    <w:rsid w:val="00BA5F96"/>
    <w:rsid w:val="00BE6D7F"/>
    <w:rsid w:val="00BF1B9E"/>
    <w:rsid w:val="00C01871"/>
    <w:rsid w:val="00C01AFA"/>
    <w:rsid w:val="00C12389"/>
    <w:rsid w:val="00C1459B"/>
    <w:rsid w:val="00C2117E"/>
    <w:rsid w:val="00C2151D"/>
    <w:rsid w:val="00C277F3"/>
    <w:rsid w:val="00C30353"/>
    <w:rsid w:val="00C36C56"/>
    <w:rsid w:val="00C400B0"/>
    <w:rsid w:val="00C42054"/>
    <w:rsid w:val="00C65189"/>
    <w:rsid w:val="00C7436E"/>
    <w:rsid w:val="00C77E51"/>
    <w:rsid w:val="00C81D19"/>
    <w:rsid w:val="00C90EBF"/>
    <w:rsid w:val="00C95C80"/>
    <w:rsid w:val="00CA0CA1"/>
    <w:rsid w:val="00CA7B4B"/>
    <w:rsid w:val="00CB025E"/>
    <w:rsid w:val="00CC36D0"/>
    <w:rsid w:val="00CD1A15"/>
    <w:rsid w:val="00CE1355"/>
    <w:rsid w:val="00CE3446"/>
    <w:rsid w:val="00CE520A"/>
    <w:rsid w:val="00CE5F23"/>
    <w:rsid w:val="00CE6A57"/>
    <w:rsid w:val="00CF0EDA"/>
    <w:rsid w:val="00CF4EEC"/>
    <w:rsid w:val="00CF4F9D"/>
    <w:rsid w:val="00D34C4F"/>
    <w:rsid w:val="00D35A3E"/>
    <w:rsid w:val="00D43227"/>
    <w:rsid w:val="00D45A89"/>
    <w:rsid w:val="00D4644E"/>
    <w:rsid w:val="00D503A2"/>
    <w:rsid w:val="00D54B5F"/>
    <w:rsid w:val="00D567BD"/>
    <w:rsid w:val="00D56B5B"/>
    <w:rsid w:val="00D77279"/>
    <w:rsid w:val="00D8393A"/>
    <w:rsid w:val="00D87847"/>
    <w:rsid w:val="00D92AC2"/>
    <w:rsid w:val="00DB2A63"/>
    <w:rsid w:val="00DB510A"/>
    <w:rsid w:val="00DB6B49"/>
    <w:rsid w:val="00DB7383"/>
    <w:rsid w:val="00DC054E"/>
    <w:rsid w:val="00DD0BBF"/>
    <w:rsid w:val="00DD2789"/>
    <w:rsid w:val="00DD2DC7"/>
    <w:rsid w:val="00DE0241"/>
    <w:rsid w:val="00DE1800"/>
    <w:rsid w:val="00DF02BC"/>
    <w:rsid w:val="00E07A25"/>
    <w:rsid w:val="00E16252"/>
    <w:rsid w:val="00E17B98"/>
    <w:rsid w:val="00E25F0C"/>
    <w:rsid w:val="00E25FC1"/>
    <w:rsid w:val="00E349C4"/>
    <w:rsid w:val="00E34EDB"/>
    <w:rsid w:val="00E35056"/>
    <w:rsid w:val="00E35419"/>
    <w:rsid w:val="00E45AB3"/>
    <w:rsid w:val="00E53275"/>
    <w:rsid w:val="00E5709C"/>
    <w:rsid w:val="00E57685"/>
    <w:rsid w:val="00E57AB2"/>
    <w:rsid w:val="00E62EDB"/>
    <w:rsid w:val="00E777ED"/>
    <w:rsid w:val="00E91EB3"/>
    <w:rsid w:val="00EB51E4"/>
    <w:rsid w:val="00EB7AE8"/>
    <w:rsid w:val="00EC6327"/>
    <w:rsid w:val="00ED2285"/>
    <w:rsid w:val="00EE2250"/>
    <w:rsid w:val="00EF4D83"/>
    <w:rsid w:val="00F01C56"/>
    <w:rsid w:val="00F032B8"/>
    <w:rsid w:val="00F035D4"/>
    <w:rsid w:val="00F05D7A"/>
    <w:rsid w:val="00F07D7C"/>
    <w:rsid w:val="00F2722B"/>
    <w:rsid w:val="00F318C3"/>
    <w:rsid w:val="00F354F0"/>
    <w:rsid w:val="00F37CCC"/>
    <w:rsid w:val="00F40255"/>
    <w:rsid w:val="00F44AE4"/>
    <w:rsid w:val="00F4548C"/>
    <w:rsid w:val="00F46205"/>
    <w:rsid w:val="00F53060"/>
    <w:rsid w:val="00F601D7"/>
    <w:rsid w:val="00F605D8"/>
    <w:rsid w:val="00F60AEB"/>
    <w:rsid w:val="00F62D3F"/>
    <w:rsid w:val="00F62DC4"/>
    <w:rsid w:val="00F65AE3"/>
    <w:rsid w:val="00F65EEC"/>
    <w:rsid w:val="00F707FD"/>
    <w:rsid w:val="00F749AF"/>
    <w:rsid w:val="00F90D54"/>
    <w:rsid w:val="00F91D2C"/>
    <w:rsid w:val="00F96838"/>
    <w:rsid w:val="00FB16F5"/>
    <w:rsid w:val="00FB2E5F"/>
    <w:rsid w:val="00FB6CFF"/>
    <w:rsid w:val="00FC5A7F"/>
    <w:rsid w:val="00FD3EBA"/>
    <w:rsid w:val="00FD7BAD"/>
    <w:rsid w:val="00FE0D66"/>
    <w:rsid w:val="00FE774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4]"/>
    </o:shapedefaults>
    <o:shapelayout v:ext="edit">
      <o:idmap v:ext="edit" data="1"/>
    </o:shapelayout>
  </w:shapeDefaults>
  <w:decimalSymbol w:val="."/>
  <w:listSeparator w:val=","/>
  <w14:docId w14:val="7EEE8E66"/>
  <w15:docId w15:val="{4BADBEDF-0E27-4D06-91C7-2528E009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250"/>
    <w:pPr>
      <w:spacing w:after="0" w:line="360" w:lineRule="auto"/>
    </w:pPr>
    <w:rPr>
      <w:sz w:val="24"/>
      <w:szCs w:val="24"/>
    </w:rPr>
  </w:style>
  <w:style w:type="paragraph" w:styleId="Heading1">
    <w:name w:val="heading 1"/>
    <w:basedOn w:val="Normal"/>
    <w:next w:val="Normal"/>
    <w:link w:val="Heading1Char"/>
    <w:uiPriority w:val="9"/>
    <w:qFormat/>
    <w:rsid w:val="007F2D0A"/>
    <w:pPr>
      <w:keepNext/>
      <w:spacing w:before="240"/>
      <w:outlineLvl w:val="0"/>
    </w:pPr>
    <w:rPr>
      <w:b/>
      <w:sz w:val="28"/>
      <w:szCs w:val="28"/>
    </w:rPr>
  </w:style>
  <w:style w:type="paragraph" w:styleId="Heading2">
    <w:name w:val="heading 2"/>
    <w:basedOn w:val="Normal"/>
    <w:next w:val="Normal"/>
    <w:link w:val="Heading2Char"/>
    <w:uiPriority w:val="9"/>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B4281"/>
    <w:pPr>
      <w:spacing w:after="120"/>
    </w:pPr>
    <w:rPr>
      <w:b/>
      <w:sz w:val="32"/>
      <w:szCs w:val="32"/>
    </w:rPr>
  </w:style>
  <w:style w:type="character" w:customStyle="1" w:styleId="TitleChar">
    <w:name w:val="Title Char"/>
    <w:basedOn w:val="DefaultParagraphFont"/>
    <w:link w:val="Title"/>
    <w:uiPriority w:val="10"/>
    <w:rsid w:val="002B4281"/>
    <w:rPr>
      <w:b/>
      <w:sz w:val="32"/>
      <w:szCs w:val="32"/>
    </w:rPr>
  </w:style>
  <w:style w:type="character" w:customStyle="1" w:styleId="Heading1Char">
    <w:name w:val="Heading 1 Char"/>
    <w:basedOn w:val="DefaultParagraphFont"/>
    <w:link w:val="Heading1"/>
    <w:uiPriority w:val="9"/>
    <w:rsid w:val="007F2D0A"/>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iPriority w:val="99"/>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character" w:styleId="CommentReference">
    <w:name w:val="annotation reference"/>
    <w:basedOn w:val="DefaultParagraphFont"/>
    <w:uiPriority w:val="99"/>
    <w:semiHidden/>
    <w:unhideWhenUsed/>
    <w:rsid w:val="00F65AE3"/>
    <w:rPr>
      <w:sz w:val="16"/>
      <w:szCs w:val="16"/>
    </w:rPr>
  </w:style>
  <w:style w:type="paragraph" w:styleId="CommentText">
    <w:name w:val="annotation text"/>
    <w:basedOn w:val="Normal"/>
    <w:link w:val="CommentTextChar"/>
    <w:uiPriority w:val="99"/>
    <w:unhideWhenUsed/>
    <w:rsid w:val="00F65AE3"/>
    <w:pPr>
      <w:spacing w:line="240" w:lineRule="auto"/>
    </w:pPr>
    <w:rPr>
      <w:sz w:val="20"/>
      <w:szCs w:val="20"/>
    </w:rPr>
  </w:style>
  <w:style w:type="character" w:customStyle="1" w:styleId="CommentTextChar">
    <w:name w:val="Comment Text Char"/>
    <w:basedOn w:val="DefaultParagraphFont"/>
    <w:link w:val="CommentText"/>
    <w:uiPriority w:val="99"/>
    <w:rsid w:val="00F65AE3"/>
    <w:rPr>
      <w:sz w:val="20"/>
      <w:szCs w:val="20"/>
    </w:rPr>
  </w:style>
  <w:style w:type="paragraph" w:styleId="CommentSubject">
    <w:name w:val="annotation subject"/>
    <w:basedOn w:val="CommentText"/>
    <w:next w:val="CommentText"/>
    <w:link w:val="CommentSubjectChar"/>
    <w:uiPriority w:val="99"/>
    <w:semiHidden/>
    <w:unhideWhenUsed/>
    <w:rsid w:val="00F65AE3"/>
    <w:rPr>
      <w:b/>
      <w:bCs/>
    </w:rPr>
  </w:style>
  <w:style w:type="character" w:customStyle="1" w:styleId="CommentSubjectChar">
    <w:name w:val="Comment Subject Char"/>
    <w:basedOn w:val="CommentTextChar"/>
    <w:link w:val="CommentSubject"/>
    <w:uiPriority w:val="99"/>
    <w:semiHidden/>
    <w:rsid w:val="00F65AE3"/>
    <w:rPr>
      <w:b/>
      <w:bCs/>
      <w:sz w:val="20"/>
      <w:szCs w:val="20"/>
    </w:rPr>
  </w:style>
  <w:style w:type="paragraph" w:styleId="Revision">
    <w:name w:val="Revision"/>
    <w:hidden/>
    <w:uiPriority w:val="99"/>
    <w:semiHidden/>
    <w:rsid w:val="00356A4E"/>
    <w:pPr>
      <w:spacing w:after="0" w:line="240" w:lineRule="auto"/>
    </w:pPr>
    <w:rPr>
      <w:sz w:val="24"/>
      <w:szCs w:val="24"/>
    </w:rPr>
  </w:style>
  <w:style w:type="character" w:styleId="Hyperlink">
    <w:name w:val="Hyperlink"/>
    <w:basedOn w:val="DefaultParagraphFont"/>
    <w:uiPriority w:val="99"/>
    <w:unhideWhenUsed/>
    <w:rsid w:val="003E424D"/>
    <w:rPr>
      <w:color w:val="405AB0" w:themeColor="hyperlink"/>
      <w:u w:val="single"/>
    </w:rPr>
  </w:style>
  <w:style w:type="character" w:customStyle="1" w:styleId="UnresolvedMention1">
    <w:name w:val="Unresolved Mention1"/>
    <w:basedOn w:val="DefaultParagraphFont"/>
    <w:uiPriority w:val="99"/>
    <w:semiHidden/>
    <w:unhideWhenUsed/>
    <w:rsid w:val="003E424D"/>
    <w:rPr>
      <w:color w:val="808080"/>
      <w:shd w:val="clear" w:color="auto" w:fill="E6E6E6"/>
    </w:rPr>
  </w:style>
  <w:style w:type="character" w:styleId="FollowedHyperlink">
    <w:name w:val="FollowedHyperlink"/>
    <w:basedOn w:val="DefaultParagraphFont"/>
    <w:uiPriority w:val="99"/>
    <w:semiHidden/>
    <w:unhideWhenUsed/>
    <w:rsid w:val="00784DF2"/>
    <w:rPr>
      <w:color w:val="C3C3C3" w:themeColor="followedHyperlink"/>
      <w:u w:val="single"/>
    </w:rPr>
  </w:style>
  <w:style w:type="character" w:styleId="UnresolvedMention">
    <w:name w:val="Unresolved Mention"/>
    <w:basedOn w:val="DefaultParagraphFont"/>
    <w:uiPriority w:val="99"/>
    <w:semiHidden/>
    <w:unhideWhenUsed/>
    <w:rsid w:val="0078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4247">
      <w:bodyDiv w:val="1"/>
      <w:marLeft w:val="0"/>
      <w:marRight w:val="0"/>
      <w:marTop w:val="0"/>
      <w:marBottom w:val="0"/>
      <w:divBdr>
        <w:top w:val="none" w:sz="0" w:space="0" w:color="auto"/>
        <w:left w:val="none" w:sz="0" w:space="0" w:color="auto"/>
        <w:bottom w:val="none" w:sz="0" w:space="0" w:color="auto"/>
        <w:right w:val="none" w:sz="0" w:space="0" w:color="auto"/>
      </w:divBdr>
    </w:div>
    <w:div w:id="97518486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6084/m9.figshare.99158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pharma.blo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w\Desktop\Manuscript%20UK.dotm" TargetMode="External"/></Relationships>
</file>

<file path=word/theme/theme1.xml><?xml version="1.0" encoding="utf-8"?>
<a:theme xmlns:a="http://schemas.openxmlformats.org/drawingml/2006/main" name="Office Theme">
  <a:themeElements>
    <a:clrScheme name="Oxford PharmaGenesis">
      <a:dk1>
        <a:sysClr val="windowText" lastClr="000000"/>
      </a:dk1>
      <a:lt1>
        <a:srgbClr val="FFFFFF"/>
      </a:lt1>
      <a:dk2>
        <a:srgbClr val="002395"/>
      </a:dk2>
      <a:lt2>
        <a:srgbClr val="FFFFFF"/>
      </a:lt2>
      <a:accent1>
        <a:srgbClr val="002395"/>
      </a:accent1>
      <a:accent2>
        <a:srgbClr val="E21F26"/>
      </a:accent2>
      <a:accent3>
        <a:srgbClr val="5F5F5F"/>
      </a:accent3>
      <a:accent4>
        <a:srgbClr val="405AB0"/>
      </a:accent4>
      <a:accent5>
        <a:srgbClr val="99CCFF"/>
      </a:accent5>
      <a:accent6>
        <a:srgbClr val="828282"/>
      </a:accent6>
      <a:hlink>
        <a:srgbClr val="405AB0"/>
      </a:hlink>
      <a:folHlink>
        <a:srgbClr val="C3C3C3"/>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0F67C5C7FE34D85D070268608294C" ma:contentTypeVersion="11" ma:contentTypeDescription="Create a new document." ma:contentTypeScope="" ma:versionID="0e95335b6faf80baa2fdf1b0d9297230">
  <xsd:schema xmlns:xsd="http://www.w3.org/2001/XMLSchema" xmlns:xs="http://www.w3.org/2001/XMLSchema" xmlns:p="http://schemas.microsoft.com/office/2006/metadata/properties" xmlns:ns3="b9c41077-ac60-4f54-bf58-8c92c9f2256d" xmlns:ns4="85b97b7e-24a7-4b6a-b751-ec4667735856" targetNamespace="http://schemas.microsoft.com/office/2006/metadata/properties" ma:root="true" ma:fieldsID="135dc12fc371521b020235aee7cab4d5" ns3:_="" ns4:_="">
    <xsd:import namespace="b9c41077-ac60-4f54-bf58-8c92c9f2256d"/>
    <xsd:import namespace="85b97b7e-24a7-4b6a-b751-ec4667735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41077-ac60-4f54-bf58-8c92c9f22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97b7e-24a7-4b6a-b751-ec4667735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8209-9A8B-449B-90F4-3FBAC8BF4998}">
  <ds:schemaRefs>
    <ds:schemaRef ds:uri="http://schemas.microsoft.com/sharepoint/v3/contenttype/forms"/>
  </ds:schemaRefs>
</ds:datastoreItem>
</file>

<file path=customXml/itemProps2.xml><?xml version="1.0" encoding="utf-8"?>
<ds:datastoreItem xmlns:ds="http://schemas.openxmlformats.org/officeDocument/2006/customXml" ds:itemID="{DB484318-18B9-404F-AAD8-CA1BBDF1BDE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9c41077-ac60-4f54-bf58-8c92c9f2256d"/>
    <ds:schemaRef ds:uri="http://purl.org/dc/elements/1.1/"/>
    <ds:schemaRef ds:uri="http://schemas.microsoft.com/office/2006/metadata/properties"/>
    <ds:schemaRef ds:uri="85b97b7e-24a7-4b6a-b751-ec4667735856"/>
    <ds:schemaRef ds:uri="http://www.w3.org/XML/1998/namespace"/>
    <ds:schemaRef ds:uri="http://purl.org/dc/dcmitype/"/>
  </ds:schemaRefs>
</ds:datastoreItem>
</file>

<file path=customXml/itemProps3.xml><?xml version="1.0" encoding="utf-8"?>
<ds:datastoreItem xmlns:ds="http://schemas.openxmlformats.org/officeDocument/2006/customXml" ds:itemID="{22DC3D18-52A1-4378-A435-35A32D0D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41077-ac60-4f54-bf58-8c92c9f2256d"/>
    <ds:schemaRef ds:uri="85b97b7e-24a7-4b6a-b751-ec466773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98B6E-D809-4564-81A1-D9B18B6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UK</Template>
  <TotalTime>5</TotalTime>
  <Pages>8</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Winchester</dc:creator>
  <cp:lastModifiedBy>Steph Macdonald</cp:lastModifiedBy>
  <cp:revision>2</cp:revision>
  <cp:lastPrinted>2018-03-19T16:49:00Z</cp:lastPrinted>
  <dcterms:created xsi:type="dcterms:W3CDTF">2019-09-27T19:39:00Z</dcterms:created>
  <dcterms:modified xsi:type="dcterms:W3CDTF">2019-09-27T19:39:00Z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0x0101003490F67C5C7FE34D85D070268608294C</vt:lpwstr>
  </property>
</Properties>
</file>